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76" w:rsidRDefault="00B54776" w:rsidP="00B54776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УДК 613.3(571.621) </w:t>
      </w:r>
    </w:p>
    <w:p w:rsidR="00B54776" w:rsidRDefault="00B54776" w:rsidP="00B5477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УСУГУБЛЕНИЕ ДЕФИЦИТА КАЛЬЦИЯ И МАГНИЯ В ПИТЬЕВОЙ ВОДЕ БИРОБИДЖАНА ПРИ ИОНООБМЕННОЙ ДЕФЕРРИЗАЦИИ</w:t>
      </w:r>
    </w:p>
    <w:p w:rsidR="00B54776" w:rsidRDefault="00B54776" w:rsidP="00B5477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© 2016 г. В. Ю. Поляков, И. Л. </w:t>
      </w:r>
      <w:proofErr w:type="spellStart"/>
      <w:r>
        <w:rPr>
          <w:rFonts w:ascii="Times New Roman" w:hAnsi="Times New Roman"/>
        </w:rPr>
        <w:t>Ревуцкая</w:t>
      </w:r>
      <w:proofErr w:type="spellEnd"/>
      <w:r>
        <w:rPr>
          <w:rFonts w:ascii="Times New Roman" w:hAnsi="Times New Roman"/>
        </w:rPr>
        <w:t>, *О. В. Суриц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Приамурский государственный университет имени </w:t>
      </w:r>
      <w:proofErr w:type="spellStart"/>
      <w:r>
        <w:rPr>
          <w:rFonts w:ascii="Times New Roman" w:hAnsi="Times New Roman"/>
          <w:w w:val="100"/>
          <w:sz w:val="24"/>
        </w:rPr>
        <w:t>Шолом</w:t>
      </w:r>
      <w:r>
        <w:rPr>
          <w:rFonts w:ascii="Times New Roman" w:hAnsi="Times New Roman"/>
          <w:w w:val="100"/>
          <w:sz w:val="24"/>
        </w:rPr>
        <w:softHyphen/>
        <w:t>Алейхема</w:t>
      </w:r>
      <w:proofErr w:type="spellEnd"/>
      <w:r>
        <w:rPr>
          <w:rFonts w:ascii="Times New Roman" w:hAnsi="Times New Roman"/>
          <w:w w:val="100"/>
          <w:sz w:val="24"/>
        </w:rPr>
        <w:t>,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*Центр гигиены и эпидемиологии в Еврейской автономной области, </w:t>
      </w:r>
      <w:proofErr w:type="gramStart"/>
      <w:r>
        <w:rPr>
          <w:rFonts w:ascii="Times New Roman" w:hAnsi="Times New Roman"/>
          <w:w w:val="100"/>
          <w:sz w:val="24"/>
        </w:rPr>
        <w:t>г</w:t>
      </w:r>
      <w:proofErr w:type="gramEnd"/>
      <w:r>
        <w:rPr>
          <w:rFonts w:ascii="Times New Roman" w:hAnsi="Times New Roman"/>
          <w:w w:val="100"/>
          <w:sz w:val="24"/>
        </w:rPr>
        <w:t>. Биробиджан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Рассмотрены проблемы качества питьевой воды города Биробиджана. Показано, что актуальной является проблема её очистки от железа. Отмечается, что питьевая вода города характеризуется </w:t>
      </w:r>
      <w:proofErr w:type="spellStart"/>
      <w:r>
        <w:rPr>
          <w:rFonts w:ascii="Times New Roman" w:hAnsi="Times New Roman"/>
          <w:w w:val="100"/>
          <w:sz w:val="24"/>
        </w:rPr>
        <w:t>природно</w:t>
      </w:r>
      <w:r>
        <w:rPr>
          <w:rFonts w:ascii="Times New Roman" w:hAnsi="Times New Roman"/>
          <w:w w:val="100"/>
          <w:sz w:val="24"/>
        </w:rPr>
        <w:softHyphen/>
        <w:t>обусловленным</w:t>
      </w:r>
      <w:proofErr w:type="spellEnd"/>
      <w:r>
        <w:rPr>
          <w:rFonts w:ascii="Times New Roman" w:hAnsi="Times New Roman"/>
          <w:w w:val="100"/>
          <w:sz w:val="24"/>
        </w:rPr>
        <w:t xml:space="preserve"> низким содержанием биогенных элементов кальция и магния. Цель работы: исследовать влияние ионообменной деферризации питьевой воды Биробиджана на концентрацию Ca</w:t>
      </w:r>
      <w:r>
        <w:rPr>
          <w:rFonts w:ascii="Times New Roman" w:hAnsi="Times New Roman"/>
          <w:w w:val="100"/>
          <w:sz w:val="24"/>
          <w:vertAlign w:val="superscript"/>
        </w:rPr>
        <w:t>2+</w:t>
      </w:r>
      <w:r>
        <w:rPr>
          <w:rFonts w:ascii="Times New Roman" w:hAnsi="Times New Roman"/>
          <w:w w:val="100"/>
          <w:sz w:val="24"/>
        </w:rPr>
        <w:t>, Mg</w:t>
      </w:r>
      <w:r>
        <w:rPr>
          <w:rFonts w:ascii="Times New Roman" w:hAnsi="Times New Roman"/>
          <w:w w:val="100"/>
          <w:sz w:val="24"/>
          <w:vertAlign w:val="superscript"/>
        </w:rPr>
        <w:t>2+</w:t>
      </w:r>
      <w:r>
        <w:rPr>
          <w:rFonts w:ascii="Times New Roman" w:hAnsi="Times New Roman"/>
          <w:w w:val="100"/>
          <w:sz w:val="24"/>
        </w:rPr>
        <w:t xml:space="preserve"> и показатель общей жёсткости, а также проанализировать физиологическую полноценность такой воды. Фотометрическим и </w:t>
      </w:r>
      <w:proofErr w:type="spellStart"/>
      <w:r>
        <w:rPr>
          <w:rFonts w:ascii="Times New Roman" w:hAnsi="Times New Roman"/>
          <w:w w:val="100"/>
          <w:sz w:val="24"/>
        </w:rPr>
        <w:t>титриметрическим</w:t>
      </w:r>
      <w:proofErr w:type="spellEnd"/>
      <w:r>
        <w:rPr>
          <w:rFonts w:ascii="Times New Roman" w:hAnsi="Times New Roman"/>
          <w:w w:val="100"/>
          <w:sz w:val="24"/>
        </w:rPr>
        <w:t xml:space="preserve"> методами установлено содержание общего железа, кальция, магния и показателя общей жёсткости в пробах питьевой воды. Показано, что концентрация общего железа в двух группах проб выше предельно допустимой и составила (0,51 ± 0,04)</w:t>
      </w:r>
      <w:r>
        <w:rPr>
          <w:rFonts w:ascii="Times New Roman" w:hAnsi="Times New Roman"/>
          <w:w w:val="100"/>
          <w:sz w:val="24"/>
          <w:vertAlign w:val="superscript"/>
        </w:rPr>
        <w:t xml:space="preserve"> </w:t>
      </w:r>
      <w:r>
        <w:rPr>
          <w:rFonts w:ascii="Times New Roman" w:hAnsi="Times New Roman"/>
          <w:w w:val="100"/>
          <w:sz w:val="24"/>
        </w:rPr>
        <w:t>и (1,92 ± 0,14) мг/дм</w:t>
      </w:r>
      <w:r>
        <w:rPr>
          <w:rFonts w:ascii="Times New Roman" w:hAnsi="Times New Roman"/>
          <w:w w:val="100"/>
          <w:sz w:val="24"/>
          <w:vertAlign w:val="superscript"/>
        </w:rPr>
        <w:t>3</w:t>
      </w:r>
      <w:r>
        <w:rPr>
          <w:rFonts w:ascii="Times New Roman" w:hAnsi="Times New Roman"/>
          <w:w w:val="100"/>
          <w:sz w:val="24"/>
        </w:rPr>
        <w:t>, а после их очистки, воспроизводящей фильтрацию через бытовые фильтры, деферризации на катионите КУ</w:t>
      </w:r>
      <w:r>
        <w:rPr>
          <w:rFonts w:ascii="Times New Roman" w:hAnsi="Times New Roman"/>
          <w:w w:val="100"/>
          <w:sz w:val="24"/>
        </w:rPr>
        <w:softHyphen/>
        <w:t>2</w:t>
      </w:r>
      <w:r>
        <w:rPr>
          <w:rFonts w:ascii="Times New Roman" w:hAnsi="Times New Roman"/>
          <w:w w:val="100"/>
          <w:sz w:val="24"/>
        </w:rPr>
        <w:softHyphen/>
        <w:t xml:space="preserve">8чС или катионите </w:t>
      </w:r>
      <w:proofErr w:type="spellStart"/>
      <w:r>
        <w:rPr>
          <w:rFonts w:ascii="Times New Roman" w:hAnsi="Times New Roman"/>
          <w:w w:val="100"/>
          <w:sz w:val="24"/>
        </w:rPr>
        <w:t>Пьюролайт</w:t>
      </w:r>
      <w:proofErr w:type="spellEnd"/>
      <w:r>
        <w:rPr>
          <w:rFonts w:ascii="Times New Roman" w:hAnsi="Times New Roman"/>
          <w:w w:val="100"/>
          <w:sz w:val="24"/>
        </w:rPr>
        <w:t xml:space="preserve"> С100Е концентрация общего железа снизилась и стала ниже ПДК. Однако концентрация кальция и магния в воде также значительно уменьшилась, от первоначальной</w:t>
      </w:r>
      <w:proofErr w:type="gramStart"/>
      <w:r>
        <w:rPr>
          <w:rFonts w:ascii="Times New Roman" w:hAnsi="Times New Roman"/>
          <w:w w:val="100"/>
          <w:sz w:val="24"/>
        </w:rPr>
        <w:t xml:space="preserve"> С</w:t>
      </w:r>
      <w:proofErr w:type="gramEnd"/>
      <w:r>
        <w:rPr>
          <w:rFonts w:ascii="Times New Roman" w:hAnsi="Times New Roman"/>
          <w:w w:val="100"/>
          <w:sz w:val="24"/>
        </w:rPr>
        <w:t>(Ca</w:t>
      </w:r>
      <w:r>
        <w:rPr>
          <w:rFonts w:ascii="Times New Roman" w:hAnsi="Times New Roman"/>
          <w:w w:val="100"/>
          <w:sz w:val="24"/>
          <w:vertAlign w:val="superscript"/>
        </w:rPr>
        <w:t>2+</w:t>
      </w:r>
      <w:r>
        <w:rPr>
          <w:rFonts w:ascii="Times New Roman" w:hAnsi="Times New Roman"/>
          <w:w w:val="100"/>
          <w:sz w:val="24"/>
        </w:rPr>
        <w:t>) = (16,31 ± 1,79) и С(Mg</w:t>
      </w:r>
      <w:r>
        <w:rPr>
          <w:rFonts w:ascii="Times New Roman" w:hAnsi="Times New Roman"/>
          <w:w w:val="100"/>
          <w:sz w:val="24"/>
          <w:vertAlign w:val="superscript"/>
        </w:rPr>
        <w:t>2+</w:t>
      </w:r>
      <w:r>
        <w:rPr>
          <w:rFonts w:ascii="Times New Roman" w:hAnsi="Times New Roman"/>
          <w:w w:val="100"/>
          <w:sz w:val="24"/>
        </w:rPr>
        <w:t>) = (4,67 ± 0,70) мг/дм</w:t>
      </w:r>
      <w:r>
        <w:rPr>
          <w:rFonts w:ascii="Times New Roman" w:hAnsi="Times New Roman"/>
          <w:w w:val="100"/>
          <w:sz w:val="24"/>
          <w:vertAlign w:val="superscript"/>
        </w:rPr>
        <w:t xml:space="preserve">3 </w:t>
      </w:r>
      <w:r>
        <w:rPr>
          <w:rFonts w:ascii="Times New Roman" w:hAnsi="Times New Roman"/>
          <w:w w:val="100"/>
          <w:sz w:val="24"/>
        </w:rPr>
        <w:t>до С(Ca</w:t>
      </w:r>
      <w:r>
        <w:rPr>
          <w:rFonts w:ascii="Times New Roman" w:hAnsi="Times New Roman"/>
          <w:w w:val="100"/>
          <w:sz w:val="24"/>
          <w:vertAlign w:val="superscript"/>
        </w:rPr>
        <w:t>2+</w:t>
      </w:r>
      <w:r>
        <w:rPr>
          <w:rFonts w:ascii="Times New Roman" w:hAnsi="Times New Roman"/>
          <w:w w:val="100"/>
          <w:sz w:val="24"/>
        </w:rPr>
        <w:t>) = (3,19 ± 0,48) и С(Mg</w:t>
      </w:r>
      <w:r>
        <w:rPr>
          <w:rFonts w:ascii="Times New Roman" w:hAnsi="Times New Roman"/>
          <w:w w:val="100"/>
          <w:sz w:val="24"/>
          <w:vertAlign w:val="superscript"/>
        </w:rPr>
        <w:t>2+</w:t>
      </w:r>
      <w:r>
        <w:rPr>
          <w:rFonts w:ascii="Times New Roman" w:hAnsi="Times New Roman"/>
          <w:w w:val="100"/>
          <w:sz w:val="24"/>
        </w:rPr>
        <w:t>) = (1,21 ± 0,30) мг/дм</w:t>
      </w:r>
      <w:r>
        <w:rPr>
          <w:rFonts w:ascii="Times New Roman" w:hAnsi="Times New Roman"/>
          <w:w w:val="100"/>
          <w:sz w:val="24"/>
          <w:vertAlign w:val="superscript"/>
        </w:rPr>
        <w:t>3</w:t>
      </w:r>
      <w:r>
        <w:rPr>
          <w:rFonts w:ascii="Times New Roman" w:hAnsi="Times New Roman"/>
          <w:w w:val="100"/>
          <w:sz w:val="24"/>
        </w:rPr>
        <w:t xml:space="preserve"> после деферризации. Общая жёсткость снизилась с (0,84 ± 0,08) до</w:t>
      </w:r>
      <w:r>
        <w:rPr>
          <w:rFonts w:ascii="Times New Roman" w:hAnsi="Times New Roman"/>
          <w:w w:val="100"/>
          <w:sz w:val="24"/>
          <w:vertAlign w:val="superscript"/>
        </w:rPr>
        <w:t xml:space="preserve"> </w:t>
      </w:r>
      <w:r>
        <w:rPr>
          <w:rFonts w:ascii="Times New Roman" w:hAnsi="Times New Roman"/>
          <w:w w:val="100"/>
          <w:sz w:val="24"/>
        </w:rPr>
        <w:t xml:space="preserve">(0,13 ± 0,01) </w:t>
      </w:r>
      <w:proofErr w:type="spellStart"/>
      <w:r>
        <w:rPr>
          <w:rFonts w:ascii="Times New Roman" w:hAnsi="Times New Roman"/>
          <w:w w:val="100"/>
          <w:sz w:val="24"/>
        </w:rPr>
        <w:t>мг</w:t>
      </w:r>
      <w:r>
        <w:rPr>
          <w:rFonts w:ascii="Times New Roman" w:hAnsi="Times New Roman"/>
          <w:w w:val="100"/>
          <w:sz w:val="24"/>
        </w:rPr>
        <w:softHyphen/>
        <w:t>экв</w:t>
      </w:r>
      <w:proofErr w:type="spellEnd"/>
      <w:r>
        <w:rPr>
          <w:rFonts w:ascii="Times New Roman" w:hAnsi="Times New Roman"/>
          <w:w w:val="100"/>
          <w:sz w:val="24"/>
        </w:rPr>
        <w:t>/дм</w:t>
      </w:r>
      <w:r>
        <w:rPr>
          <w:rFonts w:ascii="Times New Roman" w:hAnsi="Times New Roman"/>
          <w:w w:val="100"/>
          <w:sz w:val="24"/>
          <w:vertAlign w:val="superscript"/>
        </w:rPr>
        <w:t>3</w:t>
      </w:r>
      <w:r>
        <w:rPr>
          <w:rFonts w:ascii="Times New Roman" w:hAnsi="Times New Roman"/>
          <w:w w:val="100"/>
          <w:sz w:val="24"/>
        </w:rPr>
        <w:t>. В работе показана физиологическая неполноценность такой «</w:t>
      </w:r>
      <w:proofErr w:type="spellStart"/>
      <w:r>
        <w:rPr>
          <w:rFonts w:ascii="Times New Roman" w:hAnsi="Times New Roman"/>
          <w:w w:val="100"/>
          <w:sz w:val="24"/>
        </w:rPr>
        <w:t>гиперумягчённой</w:t>
      </w:r>
      <w:proofErr w:type="spellEnd"/>
      <w:r>
        <w:rPr>
          <w:rFonts w:ascii="Times New Roman" w:hAnsi="Times New Roman"/>
          <w:w w:val="100"/>
          <w:sz w:val="24"/>
        </w:rPr>
        <w:t xml:space="preserve">» питьевой воды. 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питьевая вода, кальций, магний, ионообменная деферризация</w:t>
      </w:r>
    </w:p>
    <w:p w:rsidR="00B54776" w:rsidRDefault="00B54776" w:rsidP="00B54776">
      <w:pPr>
        <w:pStyle w:val="a4"/>
        <w:rPr>
          <w:rFonts w:ascii="Times New Roman" w:hAnsi="Times New Roman"/>
          <w:sz w:val="24"/>
        </w:rPr>
      </w:pPr>
    </w:p>
    <w:p w:rsidR="00B54776" w:rsidRDefault="00B54776" w:rsidP="00B54776">
      <w:pPr>
        <w:rPr>
          <w:rFonts w:ascii="Times New Roman" w:hAnsi="Times New Roman"/>
          <w:sz w:val="24"/>
        </w:rPr>
      </w:pPr>
    </w:p>
    <w:p w:rsidR="00B54776" w:rsidRDefault="00B54776" w:rsidP="00B54776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УДК 615.916</w:t>
      </w:r>
      <w:r>
        <w:rPr>
          <w:rFonts w:ascii="Times New Roman" w:hAnsi="Times New Roman" w:cs="Symbol"/>
          <w:position w:val="2"/>
          <w:sz w:val="24"/>
        </w:rPr>
        <w:sym w:font="Times New Roman" w:char="F0A2"/>
      </w:r>
      <w:r>
        <w:rPr>
          <w:rFonts w:ascii="Times New Roman" w:hAnsi="Times New Roman"/>
          <w:sz w:val="24"/>
        </w:rPr>
        <w:t>149</w:t>
      </w:r>
      <w:r w:rsidRPr="00B54776">
        <w:rPr>
          <w:rFonts w:ascii="Times New Roman" w:eastAsia="MS Mincho" w:hAnsi="MS Mincho" w:cs="MS Mincho" w:hint="eastAsia"/>
          <w:sz w:val="24"/>
        </w:rPr>
        <w:t> </w:t>
      </w:r>
      <w:r>
        <w:rPr>
          <w:rFonts w:ascii="Times New Roman" w:hAnsi="Times New Roman"/>
          <w:sz w:val="24"/>
        </w:rPr>
        <w:t>:</w:t>
      </w:r>
      <w:r w:rsidRPr="00B54776">
        <w:rPr>
          <w:rFonts w:ascii="Times New Roman" w:eastAsia="MS Mincho" w:hAnsi="MS Mincho" w:cs="MS Mincho" w:hint="eastAsia"/>
          <w:sz w:val="24"/>
        </w:rPr>
        <w:t> </w:t>
      </w:r>
      <w:r>
        <w:rPr>
          <w:rFonts w:ascii="Times New Roman" w:hAnsi="Times New Roman"/>
          <w:sz w:val="24"/>
        </w:rPr>
        <w:t>616.153.96</w:t>
      </w:r>
      <w:r>
        <w:rPr>
          <w:rFonts w:ascii="Times New Roman" w:hAnsi="Times New Roman"/>
          <w:sz w:val="24"/>
        </w:rPr>
        <w:softHyphen/>
        <w:t>001.16</w:t>
      </w:r>
    </w:p>
    <w:p w:rsidR="00B54776" w:rsidRDefault="00B54776" w:rsidP="00B5477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АССОЦИАЦИЯ ПОЛИМОРФНЫХ ЛОКУСОВ ГЕНОВ HSP1A</w:t>
      </w:r>
      <w:proofErr w:type="gramStart"/>
      <w:r>
        <w:rPr>
          <w:rFonts w:ascii="Times New Roman" w:hAnsi="Times New Roman"/>
          <w:b/>
          <w:sz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</w:rPr>
        <w:t xml:space="preserve"> ФОРМИРОВАНИЕМ ХРОНИЧЕСКОЙ РТУТНОЙ ИНТОКСИКАЦИИ</w:t>
      </w:r>
    </w:p>
    <w:p w:rsidR="00B54776" w:rsidRDefault="00B54776" w:rsidP="00B5477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© 2016 г. Ю. И. Черняк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proofErr w:type="spellStart"/>
      <w:r>
        <w:rPr>
          <w:rFonts w:ascii="Times New Roman" w:hAnsi="Times New Roman"/>
          <w:w w:val="100"/>
          <w:sz w:val="24"/>
        </w:rPr>
        <w:t>Восточно</w:t>
      </w:r>
      <w:r>
        <w:rPr>
          <w:rFonts w:ascii="Times New Roman" w:hAnsi="Times New Roman"/>
          <w:w w:val="100"/>
          <w:sz w:val="24"/>
        </w:rPr>
        <w:softHyphen/>
        <w:t>Сибирский</w:t>
      </w:r>
      <w:proofErr w:type="spellEnd"/>
      <w:r>
        <w:rPr>
          <w:rFonts w:ascii="Times New Roman" w:hAnsi="Times New Roman"/>
          <w:w w:val="100"/>
          <w:sz w:val="24"/>
        </w:rPr>
        <w:t xml:space="preserve"> институт </w:t>
      </w:r>
      <w:proofErr w:type="spellStart"/>
      <w:r>
        <w:rPr>
          <w:rFonts w:ascii="Times New Roman" w:hAnsi="Times New Roman"/>
          <w:w w:val="100"/>
          <w:sz w:val="24"/>
        </w:rPr>
        <w:t>медико</w:t>
      </w:r>
      <w:r>
        <w:rPr>
          <w:rFonts w:ascii="Times New Roman" w:hAnsi="Times New Roman"/>
          <w:w w:val="100"/>
          <w:sz w:val="24"/>
        </w:rPr>
        <w:softHyphen/>
        <w:t>экологических</w:t>
      </w:r>
      <w:proofErr w:type="spellEnd"/>
      <w:r>
        <w:rPr>
          <w:rFonts w:ascii="Times New Roman" w:hAnsi="Times New Roman"/>
          <w:w w:val="100"/>
          <w:sz w:val="24"/>
        </w:rPr>
        <w:t xml:space="preserve"> исследований, </w:t>
      </w:r>
      <w:proofErr w:type="gramStart"/>
      <w:r>
        <w:rPr>
          <w:rFonts w:ascii="Times New Roman" w:hAnsi="Times New Roman"/>
          <w:w w:val="100"/>
          <w:sz w:val="24"/>
        </w:rPr>
        <w:t>г</w:t>
      </w:r>
      <w:proofErr w:type="gramEnd"/>
      <w:r>
        <w:rPr>
          <w:rFonts w:ascii="Times New Roman" w:hAnsi="Times New Roman"/>
          <w:w w:val="100"/>
          <w:sz w:val="24"/>
        </w:rPr>
        <w:t xml:space="preserve">. </w:t>
      </w:r>
      <w:proofErr w:type="spellStart"/>
      <w:r>
        <w:rPr>
          <w:rFonts w:ascii="Times New Roman" w:hAnsi="Times New Roman"/>
          <w:w w:val="100"/>
          <w:sz w:val="24"/>
        </w:rPr>
        <w:t>Ангарск</w:t>
      </w:r>
      <w:proofErr w:type="spellEnd"/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С целью выявления ассоциации полиморфных локусов генов </w:t>
      </w:r>
      <w:r>
        <w:rPr>
          <w:rFonts w:ascii="Times New Roman" w:hAnsi="Times New Roman"/>
          <w:i/>
          <w:iCs/>
          <w:w w:val="100"/>
          <w:sz w:val="24"/>
        </w:rPr>
        <w:t>HSP1A</w:t>
      </w:r>
      <w:r>
        <w:rPr>
          <w:rFonts w:ascii="Times New Roman" w:hAnsi="Times New Roman"/>
          <w:w w:val="100"/>
          <w:sz w:val="24"/>
        </w:rPr>
        <w:t xml:space="preserve"> (семейство </w:t>
      </w:r>
      <w:r>
        <w:rPr>
          <w:rFonts w:ascii="Times New Roman" w:hAnsi="Times New Roman"/>
          <w:i/>
          <w:iCs/>
          <w:w w:val="100"/>
          <w:sz w:val="24"/>
        </w:rPr>
        <w:t>HSP70</w:t>
      </w:r>
      <w:r>
        <w:rPr>
          <w:rFonts w:ascii="Times New Roman" w:hAnsi="Times New Roman"/>
          <w:w w:val="100"/>
          <w:sz w:val="24"/>
        </w:rPr>
        <w:t xml:space="preserve">) с формированием хронической ртутной интоксикации (ХРИ) были обследованы 87 бывших рабочих производства каустика, подвергшихся хроническому воздействию паров ртути. Изучены полиморфные варианты генов </w:t>
      </w:r>
      <w:r>
        <w:rPr>
          <w:rFonts w:ascii="Times New Roman" w:hAnsi="Times New Roman"/>
          <w:i/>
          <w:iCs/>
          <w:w w:val="100"/>
          <w:sz w:val="24"/>
        </w:rPr>
        <w:t>HSPA1B</w:t>
      </w:r>
      <w:r>
        <w:rPr>
          <w:rFonts w:ascii="Times New Roman" w:hAnsi="Times New Roman"/>
          <w:w w:val="100"/>
          <w:sz w:val="24"/>
        </w:rPr>
        <w:t xml:space="preserve"> (+1267A/G и +2074G/C) и </w:t>
      </w:r>
      <w:r>
        <w:rPr>
          <w:rFonts w:ascii="Times New Roman" w:hAnsi="Times New Roman"/>
          <w:i/>
          <w:iCs/>
          <w:w w:val="100"/>
          <w:sz w:val="24"/>
        </w:rPr>
        <w:t>HSP1AL</w:t>
      </w:r>
      <w:r>
        <w:rPr>
          <w:rFonts w:ascii="Times New Roman" w:hAnsi="Times New Roman"/>
          <w:w w:val="100"/>
          <w:sz w:val="24"/>
        </w:rPr>
        <w:t xml:space="preserve"> (+2437T/C), для которых последовательно осуществлен ПЦР</w:t>
      </w:r>
      <w:r>
        <w:rPr>
          <w:rFonts w:ascii="Times New Roman" w:hAnsi="Times New Roman"/>
          <w:w w:val="100"/>
          <w:sz w:val="24"/>
        </w:rPr>
        <w:softHyphen/>
        <w:t xml:space="preserve">ПДРФ анализ, использована </w:t>
      </w:r>
      <w:proofErr w:type="spellStart"/>
      <w:r>
        <w:rPr>
          <w:rFonts w:ascii="Times New Roman" w:hAnsi="Times New Roman"/>
          <w:w w:val="100"/>
          <w:sz w:val="24"/>
        </w:rPr>
        <w:t>логистическая</w:t>
      </w:r>
      <w:proofErr w:type="spellEnd"/>
      <w:r>
        <w:rPr>
          <w:rFonts w:ascii="Times New Roman" w:hAnsi="Times New Roman"/>
          <w:w w:val="100"/>
          <w:sz w:val="24"/>
        </w:rPr>
        <w:t xml:space="preserve"> регрессия для различных генетических моделей. Выявлены значимые отличия для генотипа GG локуса 1267A/G гена </w:t>
      </w:r>
      <w:r>
        <w:rPr>
          <w:rFonts w:ascii="Times New Roman" w:hAnsi="Times New Roman"/>
          <w:i/>
          <w:iCs/>
          <w:w w:val="100"/>
          <w:sz w:val="24"/>
        </w:rPr>
        <w:t>HSPA1B</w:t>
      </w:r>
      <w:r>
        <w:rPr>
          <w:rFonts w:ascii="Times New Roman" w:hAnsi="Times New Roman"/>
          <w:w w:val="100"/>
          <w:sz w:val="24"/>
        </w:rPr>
        <w:t xml:space="preserve"> между группами рабочих, что выражалось в его повышенной частоте (</w:t>
      </w:r>
      <w:proofErr w:type="spellStart"/>
      <w:r>
        <w:rPr>
          <w:rFonts w:ascii="Times New Roman" w:hAnsi="Times New Roman"/>
          <w:w w:val="100"/>
          <w:sz w:val="24"/>
        </w:rPr>
        <w:t>p</w:t>
      </w:r>
      <w:proofErr w:type="spellEnd"/>
      <w:r>
        <w:rPr>
          <w:rFonts w:ascii="Times New Roman" w:hAnsi="Times New Roman"/>
          <w:w w:val="100"/>
          <w:sz w:val="24"/>
        </w:rPr>
        <w:t xml:space="preserve"> = 0,003) в группе пациентов с диагнозом ХРИ (</w:t>
      </w:r>
      <w:proofErr w:type="spellStart"/>
      <w:r>
        <w:rPr>
          <w:rFonts w:ascii="Times New Roman" w:hAnsi="Times New Roman"/>
          <w:w w:val="100"/>
          <w:sz w:val="24"/>
        </w:rPr>
        <w:t>n</w:t>
      </w:r>
      <w:proofErr w:type="spellEnd"/>
      <w:r>
        <w:rPr>
          <w:rFonts w:ascii="Times New Roman" w:hAnsi="Times New Roman"/>
          <w:w w:val="100"/>
          <w:sz w:val="24"/>
        </w:rPr>
        <w:t xml:space="preserve"> </w:t>
      </w:r>
      <w:r>
        <w:rPr>
          <w:rFonts w:ascii="Times New Roman" w:hAnsi="Times New Roman"/>
          <w:w w:val="100"/>
          <w:sz w:val="24"/>
        </w:rPr>
        <w:lastRenderedPageBreak/>
        <w:t>= 45) по сравнению с группой рабочих без данного заболевания (</w:t>
      </w:r>
      <w:proofErr w:type="spellStart"/>
      <w:r>
        <w:rPr>
          <w:rFonts w:ascii="Times New Roman" w:hAnsi="Times New Roman"/>
          <w:w w:val="100"/>
          <w:sz w:val="24"/>
        </w:rPr>
        <w:t>n</w:t>
      </w:r>
      <w:proofErr w:type="spellEnd"/>
      <w:r>
        <w:rPr>
          <w:rFonts w:ascii="Times New Roman" w:hAnsi="Times New Roman"/>
          <w:w w:val="100"/>
          <w:sz w:val="24"/>
        </w:rPr>
        <w:t xml:space="preserve"> = 42). Рецессивная генетическая модель обнаружила сильную ассоциацию гомозиготного по </w:t>
      </w:r>
      <w:proofErr w:type="gramStart"/>
      <w:r>
        <w:rPr>
          <w:rFonts w:ascii="Times New Roman" w:hAnsi="Times New Roman"/>
          <w:w w:val="100"/>
          <w:sz w:val="24"/>
        </w:rPr>
        <w:t>редкому</w:t>
      </w:r>
      <w:proofErr w:type="gramEnd"/>
      <w:r>
        <w:rPr>
          <w:rFonts w:ascii="Times New Roman" w:hAnsi="Times New Roman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w w:val="100"/>
          <w:sz w:val="24"/>
        </w:rPr>
        <w:t>аллелю</w:t>
      </w:r>
      <w:proofErr w:type="spellEnd"/>
      <w:r>
        <w:rPr>
          <w:rFonts w:ascii="Times New Roman" w:hAnsi="Times New Roman"/>
          <w:w w:val="100"/>
          <w:sz w:val="24"/>
        </w:rPr>
        <w:t xml:space="preserve"> GG генотипа с развитием ХРИ (OR = 13,26, </w:t>
      </w:r>
      <w:proofErr w:type="spellStart"/>
      <w:r>
        <w:rPr>
          <w:rFonts w:ascii="Times New Roman" w:hAnsi="Times New Roman"/>
          <w:w w:val="100"/>
          <w:sz w:val="24"/>
        </w:rPr>
        <w:t>p</w:t>
      </w:r>
      <w:proofErr w:type="spellEnd"/>
      <w:r>
        <w:rPr>
          <w:rFonts w:ascii="Times New Roman" w:hAnsi="Times New Roman"/>
          <w:w w:val="100"/>
          <w:sz w:val="24"/>
        </w:rPr>
        <w:t xml:space="preserve"> = 0,001). Полученные результаты свидетельствуют о значимой роли HSPA1 в механизмах формирования и прогрессирования ХРИ, что будет способствовать выработке критериев оценки индивидуальной чувствительности организма и риска развития этого заболевания.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ртуть, хроническое воздействие, хроническая ртутная интоксикация, белки теплового шока 70, полиморфизм генов</w:t>
      </w:r>
    </w:p>
    <w:p w:rsidR="00B54776" w:rsidRDefault="00B54776" w:rsidP="00B54776">
      <w:pPr>
        <w:pStyle w:val="a4"/>
        <w:rPr>
          <w:rFonts w:ascii="Times New Roman" w:hAnsi="Times New Roman"/>
          <w:sz w:val="24"/>
        </w:rPr>
      </w:pPr>
    </w:p>
    <w:p w:rsidR="00B54776" w:rsidRPr="00B54776" w:rsidRDefault="00B54776" w:rsidP="00B54776">
      <w:pPr>
        <w:rPr>
          <w:rFonts w:ascii="Times New Roman" w:hAnsi="Times New Roman"/>
          <w:sz w:val="24"/>
          <w:lang w:val="en-US"/>
        </w:rPr>
      </w:pPr>
    </w:p>
    <w:p w:rsidR="00B54776" w:rsidRPr="00B54776" w:rsidRDefault="00B54776" w:rsidP="00B54776">
      <w:pPr>
        <w:pStyle w:val="a5"/>
        <w:spacing w:after="57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УДК</w:t>
      </w:r>
      <w:r w:rsidRPr="00B54776">
        <w:rPr>
          <w:rFonts w:ascii="Times New Roman" w:hAnsi="Times New Roman"/>
          <w:sz w:val="24"/>
          <w:lang w:val="en-US"/>
        </w:rPr>
        <w:t xml:space="preserve"> 612.13:[618.2:613.84] </w:t>
      </w:r>
    </w:p>
    <w:p w:rsidR="00B54776" w:rsidRDefault="00B54776" w:rsidP="00B54776">
      <w:pPr>
        <w:pStyle w:val="a6"/>
        <w:spacing w:after="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СОСТОЯНИЕ ГЕМОДИНАМИКИ В СИСТЕМЕ «МАТЬ – ПЛАЦЕНТА – ПЛОД» </w:t>
      </w:r>
      <w:r>
        <w:rPr>
          <w:rFonts w:ascii="Times New Roman" w:hAnsi="Times New Roman"/>
          <w:b/>
          <w:sz w:val="24"/>
        </w:rPr>
        <w:br/>
        <w:t>У КУРЯЩИХ БЕРЕМЕННЫХ</w:t>
      </w:r>
    </w:p>
    <w:p w:rsidR="00B54776" w:rsidRDefault="00B54776" w:rsidP="00B54776">
      <w:pPr>
        <w:pStyle w:val="a7"/>
        <w:spacing w:after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© 2016 г. *Е. М. </w:t>
      </w:r>
      <w:proofErr w:type="spellStart"/>
      <w:r>
        <w:rPr>
          <w:rFonts w:ascii="Times New Roman" w:hAnsi="Times New Roman"/>
        </w:rPr>
        <w:t>Грызунова</w:t>
      </w:r>
      <w:proofErr w:type="spellEnd"/>
      <w:r>
        <w:rPr>
          <w:rFonts w:ascii="Times New Roman" w:hAnsi="Times New Roman"/>
        </w:rPr>
        <w:t xml:space="preserve">, С. Л. </w:t>
      </w:r>
      <w:proofErr w:type="spellStart"/>
      <w:r>
        <w:rPr>
          <w:rFonts w:ascii="Times New Roman" w:hAnsi="Times New Roman"/>
        </w:rPr>
        <w:t>Совершаева</w:t>
      </w:r>
      <w:proofErr w:type="spellEnd"/>
      <w:r>
        <w:rPr>
          <w:rFonts w:ascii="Times New Roman" w:hAnsi="Times New Roman"/>
        </w:rPr>
        <w:t xml:space="preserve">, А. Г. Соловьев, *Е. В Казакевич, </w:t>
      </w:r>
      <w:r>
        <w:rPr>
          <w:rFonts w:ascii="Times New Roman" w:hAnsi="Times New Roman"/>
        </w:rPr>
        <w:br/>
        <w:t>Г. Н. Чумакова, *А. П. Котлов, Л. Г. Киселева, О. А. Харькова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>*Северный медицинский клинический центр имени Н. А. Семашко, г. Архангельск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Одним из факторов риска развития нарушений в системе «мать – плацента – плод» является </w:t>
      </w:r>
      <w:proofErr w:type="spellStart"/>
      <w:r>
        <w:rPr>
          <w:rFonts w:ascii="Times New Roman" w:hAnsi="Times New Roman"/>
          <w:w w:val="100"/>
          <w:sz w:val="24"/>
        </w:rPr>
        <w:t>табакокурение</w:t>
      </w:r>
      <w:proofErr w:type="spellEnd"/>
      <w:r>
        <w:rPr>
          <w:rFonts w:ascii="Times New Roman" w:hAnsi="Times New Roman"/>
          <w:w w:val="100"/>
          <w:sz w:val="24"/>
        </w:rPr>
        <w:t xml:space="preserve">, которое служит и одним из важнейших предотвратимых факторов неудачного исхода </w:t>
      </w:r>
      <w:proofErr w:type="gramStart"/>
      <w:r>
        <w:rPr>
          <w:rFonts w:ascii="Times New Roman" w:hAnsi="Times New Roman"/>
          <w:w w:val="100"/>
          <w:sz w:val="24"/>
        </w:rPr>
        <w:t>беременности</w:t>
      </w:r>
      <w:proofErr w:type="gramEnd"/>
      <w:r>
        <w:rPr>
          <w:rFonts w:ascii="Times New Roman" w:hAnsi="Times New Roman"/>
          <w:w w:val="100"/>
          <w:sz w:val="24"/>
        </w:rPr>
        <w:t xml:space="preserve"> как для матери, так и для плода. С целью выявления особенностей состояния гемодинамики в системе «мать – плацента – плод» у курящих беременных посредством оценки </w:t>
      </w:r>
      <w:proofErr w:type="spellStart"/>
      <w:r>
        <w:rPr>
          <w:rFonts w:ascii="Times New Roman" w:hAnsi="Times New Roman"/>
          <w:w w:val="100"/>
          <w:sz w:val="24"/>
        </w:rPr>
        <w:t>маточно</w:t>
      </w:r>
      <w:r>
        <w:rPr>
          <w:rFonts w:ascii="Times New Roman" w:hAnsi="Times New Roman"/>
          <w:w w:val="100"/>
          <w:sz w:val="24"/>
        </w:rPr>
        <w:softHyphen/>
        <w:t>плацентарного</w:t>
      </w:r>
      <w:proofErr w:type="spellEnd"/>
      <w:r>
        <w:rPr>
          <w:rFonts w:ascii="Times New Roman" w:hAnsi="Times New Roman"/>
          <w:w w:val="100"/>
          <w:sz w:val="24"/>
        </w:rPr>
        <w:t xml:space="preserve">, </w:t>
      </w:r>
      <w:proofErr w:type="spellStart"/>
      <w:r>
        <w:rPr>
          <w:rFonts w:ascii="Times New Roman" w:hAnsi="Times New Roman"/>
          <w:w w:val="100"/>
          <w:sz w:val="24"/>
        </w:rPr>
        <w:t>фетоплацентарного</w:t>
      </w:r>
      <w:proofErr w:type="spellEnd"/>
      <w:r>
        <w:rPr>
          <w:rFonts w:ascii="Times New Roman" w:hAnsi="Times New Roman"/>
          <w:w w:val="100"/>
          <w:sz w:val="24"/>
        </w:rPr>
        <w:t xml:space="preserve"> и плодового кровотока проведен анализ физиологических показателей ультразвуковой </w:t>
      </w:r>
      <w:proofErr w:type="spellStart"/>
      <w:r>
        <w:rPr>
          <w:rFonts w:ascii="Times New Roman" w:hAnsi="Times New Roman"/>
          <w:w w:val="100"/>
          <w:sz w:val="24"/>
        </w:rPr>
        <w:t>допплерометрии</w:t>
      </w:r>
      <w:proofErr w:type="spellEnd"/>
      <w:r>
        <w:rPr>
          <w:rFonts w:ascii="Times New Roman" w:hAnsi="Times New Roman"/>
          <w:w w:val="100"/>
          <w:sz w:val="24"/>
        </w:rPr>
        <w:t xml:space="preserve">. </w:t>
      </w:r>
      <w:proofErr w:type="gramStart"/>
      <w:r>
        <w:rPr>
          <w:rFonts w:ascii="Times New Roman" w:hAnsi="Times New Roman"/>
          <w:w w:val="100"/>
          <w:sz w:val="24"/>
        </w:rPr>
        <w:t xml:space="preserve">Обследованы 120 беременных Северного медицинского клинического центра имени Н. А. Семашко г. Архангельска в сроке 30–34 недели </w:t>
      </w:r>
      <w:proofErr w:type="spellStart"/>
      <w:r>
        <w:rPr>
          <w:rFonts w:ascii="Times New Roman" w:hAnsi="Times New Roman"/>
          <w:w w:val="100"/>
          <w:sz w:val="24"/>
        </w:rPr>
        <w:t>гестации</w:t>
      </w:r>
      <w:proofErr w:type="spellEnd"/>
      <w:r>
        <w:rPr>
          <w:rFonts w:ascii="Times New Roman" w:hAnsi="Times New Roman"/>
          <w:w w:val="100"/>
          <w:sz w:val="24"/>
        </w:rPr>
        <w:t xml:space="preserve"> с выделением группы курящих – 80 человек и группы некурящих – 40 человек; 85,0</w:t>
      </w:r>
      <w:r>
        <w:rPr>
          <w:rFonts w:ascii="Arial" w:hAnsi="Arial" w:cs="Arial"/>
          <w:w w:val="100"/>
          <w:sz w:val="24"/>
        </w:rPr>
        <w:t> </w:t>
      </w:r>
      <w:r>
        <w:rPr>
          <w:rFonts w:ascii="Times New Roman" w:hAnsi="Times New Roman"/>
          <w:w w:val="100"/>
          <w:sz w:val="24"/>
        </w:rPr>
        <w:t xml:space="preserve">% куривших беременных по тесту </w:t>
      </w:r>
      <w:proofErr w:type="spellStart"/>
      <w:r>
        <w:rPr>
          <w:rFonts w:ascii="Times New Roman" w:hAnsi="Times New Roman"/>
          <w:w w:val="100"/>
          <w:sz w:val="24"/>
        </w:rPr>
        <w:t>Фагерстрема</w:t>
      </w:r>
      <w:proofErr w:type="spellEnd"/>
      <w:r>
        <w:rPr>
          <w:rFonts w:ascii="Times New Roman" w:hAnsi="Times New Roman"/>
          <w:w w:val="100"/>
          <w:sz w:val="24"/>
        </w:rPr>
        <w:t xml:space="preserve"> имели слабую степень никотиновой зависимости, 5,0</w:t>
      </w:r>
      <w:r>
        <w:rPr>
          <w:rFonts w:ascii="Arial" w:hAnsi="Arial" w:cs="Arial"/>
          <w:w w:val="100"/>
          <w:sz w:val="24"/>
        </w:rPr>
        <w:t> </w:t>
      </w:r>
      <w:r>
        <w:rPr>
          <w:rFonts w:ascii="Times New Roman" w:hAnsi="Times New Roman"/>
          <w:w w:val="100"/>
          <w:sz w:val="24"/>
        </w:rPr>
        <w:t>% – умеренную и 10,0</w:t>
      </w:r>
      <w:r>
        <w:rPr>
          <w:rFonts w:ascii="Arial" w:hAnsi="Arial" w:cs="Arial"/>
          <w:w w:val="100"/>
          <w:sz w:val="24"/>
        </w:rPr>
        <w:t> </w:t>
      </w:r>
      <w:r>
        <w:rPr>
          <w:rFonts w:ascii="Times New Roman" w:hAnsi="Times New Roman"/>
          <w:w w:val="100"/>
          <w:sz w:val="24"/>
        </w:rPr>
        <w:t>% – сильную; стаж курения составил (10,6 ± 3,9) года.</w:t>
      </w:r>
      <w:proofErr w:type="gramEnd"/>
      <w:r>
        <w:rPr>
          <w:rFonts w:ascii="Times New Roman" w:hAnsi="Times New Roman"/>
          <w:w w:val="100"/>
          <w:sz w:val="24"/>
        </w:rPr>
        <w:t xml:space="preserve"> Показано, что в группе курящих беременных преобладают изменения в </w:t>
      </w:r>
      <w:proofErr w:type="spellStart"/>
      <w:r>
        <w:rPr>
          <w:rFonts w:ascii="Times New Roman" w:hAnsi="Times New Roman"/>
          <w:w w:val="100"/>
          <w:sz w:val="24"/>
        </w:rPr>
        <w:t>фетоплацентарном</w:t>
      </w:r>
      <w:proofErr w:type="spellEnd"/>
      <w:r>
        <w:rPr>
          <w:rFonts w:ascii="Times New Roman" w:hAnsi="Times New Roman"/>
          <w:w w:val="100"/>
          <w:sz w:val="24"/>
        </w:rPr>
        <w:t xml:space="preserve"> кровотоке, на что указывают систоло</w:t>
      </w:r>
      <w:r>
        <w:rPr>
          <w:rFonts w:ascii="Times New Roman" w:hAnsi="Times New Roman"/>
          <w:w w:val="100"/>
          <w:sz w:val="24"/>
        </w:rPr>
        <w:softHyphen/>
        <w:t xml:space="preserve">диастолическое отношение и индекс </w:t>
      </w:r>
      <w:proofErr w:type="spellStart"/>
      <w:r>
        <w:rPr>
          <w:rFonts w:ascii="Times New Roman" w:hAnsi="Times New Roman"/>
          <w:w w:val="100"/>
          <w:sz w:val="24"/>
        </w:rPr>
        <w:t>резистентности</w:t>
      </w:r>
      <w:proofErr w:type="spellEnd"/>
      <w:r>
        <w:rPr>
          <w:rFonts w:ascii="Times New Roman" w:hAnsi="Times New Roman"/>
          <w:w w:val="100"/>
          <w:sz w:val="24"/>
        </w:rPr>
        <w:t xml:space="preserve">, отражающие своеобразный «эффект защиты мозга плода», который проявляется </w:t>
      </w:r>
      <w:proofErr w:type="spellStart"/>
      <w:r>
        <w:rPr>
          <w:rFonts w:ascii="Times New Roman" w:hAnsi="Times New Roman"/>
          <w:w w:val="100"/>
          <w:sz w:val="24"/>
        </w:rPr>
        <w:t>допплерометрическими</w:t>
      </w:r>
      <w:proofErr w:type="spellEnd"/>
      <w:r>
        <w:rPr>
          <w:rFonts w:ascii="Times New Roman" w:hAnsi="Times New Roman"/>
          <w:w w:val="100"/>
          <w:sz w:val="24"/>
        </w:rPr>
        <w:t xml:space="preserve"> признаками увеличения кровотока в средней мозговой артерии плода на фоне снижения кровотока в артерии пуповины. Обоснована необходимость во время третьего ультразвукового скрининга у курящих женщин проводить дополнительное </w:t>
      </w:r>
      <w:proofErr w:type="spellStart"/>
      <w:r>
        <w:rPr>
          <w:rFonts w:ascii="Times New Roman" w:hAnsi="Times New Roman"/>
          <w:w w:val="100"/>
          <w:sz w:val="24"/>
        </w:rPr>
        <w:t>допплерометрическое</w:t>
      </w:r>
      <w:proofErr w:type="spellEnd"/>
      <w:r>
        <w:rPr>
          <w:rFonts w:ascii="Times New Roman" w:hAnsi="Times New Roman"/>
          <w:w w:val="100"/>
          <w:sz w:val="24"/>
        </w:rPr>
        <w:t xml:space="preserve"> исследование </w:t>
      </w:r>
      <w:proofErr w:type="spellStart"/>
      <w:r>
        <w:rPr>
          <w:rFonts w:ascii="Times New Roman" w:hAnsi="Times New Roman"/>
          <w:w w:val="100"/>
          <w:sz w:val="24"/>
        </w:rPr>
        <w:t>маточно</w:t>
      </w:r>
      <w:r>
        <w:rPr>
          <w:rFonts w:ascii="Times New Roman" w:hAnsi="Times New Roman"/>
          <w:w w:val="100"/>
          <w:sz w:val="24"/>
        </w:rPr>
        <w:softHyphen/>
        <w:t>плацентарного</w:t>
      </w:r>
      <w:proofErr w:type="spellEnd"/>
      <w:r>
        <w:rPr>
          <w:rFonts w:ascii="Times New Roman" w:hAnsi="Times New Roman"/>
          <w:w w:val="100"/>
          <w:sz w:val="24"/>
        </w:rPr>
        <w:t xml:space="preserve">, </w:t>
      </w:r>
      <w:proofErr w:type="spellStart"/>
      <w:r>
        <w:rPr>
          <w:rFonts w:ascii="Times New Roman" w:hAnsi="Times New Roman"/>
          <w:w w:val="100"/>
          <w:sz w:val="24"/>
        </w:rPr>
        <w:t>фетоплацентарного</w:t>
      </w:r>
      <w:proofErr w:type="spellEnd"/>
      <w:r>
        <w:rPr>
          <w:rFonts w:ascii="Times New Roman" w:hAnsi="Times New Roman"/>
          <w:w w:val="100"/>
          <w:sz w:val="24"/>
        </w:rPr>
        <w:t xml:space="preserve"> и плодового кровотоков для выявления компенсаторных изменений сосудов плаценты, пуповины и прогнозирования развития гипоксии сосудистого генеза у плода.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w w:val="100"/>
          <w:sz w:val="24"/>
        </w:rPr>
        <w:t>табакокурение</w:t>
      </w:r>
      <w:proofErr w:type="spellEnd"/>
      <w:r>
        <w:rPr>
          <w:rFonts w:ascii="Times New Roman" w:hAnsi="Times New Roman"/>
          <w:w w:val="100"/>
          <w:sz w:val="24"/>
        </w:rPr>
        <w:t xml:space="preserve">, беременность, плод, </w:t>
      </w:r>
      <w:proofErr w:type="spellStart"/>
      <w:r>
        <w:rPr>
          <w:rFonts w:ascii="Times New Roman" w:hAnsi="Times New Roman"/>
          <w:w w:val="100"/>
          <w:sz w:val="24"/>
        </w:rPr>
        <w:t>допплерометрическое</w:t>
      </w:r>
      <w:proofErr w:type="spellEnd"/>
      <w:r>
        <w:rPr>
          <w:rFonts w:ascii="Times New Roman" w:hAnsi="Times New Roman"/>
          <w:w w:val="100"/>
          <w:sz w:val="24"/>
        </w:rPr>
        <w:t xml:space="preserve"> исследование, </w:t>
      </w:r>
      <w:proofErr w:type="spellStart"/>
      <w:r>
        <w:rPr>
          <w:rFonts w:ascii="Times New Roman" w:hAnsi="Times New Roman"/>
          <w:w w:val="100"/>
          <w:sz w:val="24"/>
        </w:rPr>
        <w:t>маточно</w:t>
      </w:r>
      <w:r>
        <w:rPr>
          <w:rFonts w:ascii="Times New Roman" w:hAnsi="Times New Roman"/>
          <w:w w:val="100"/>
          <w:sz w:val="24"/>
        </w:rPr>
        <w:softHyphen/>
        <w:t>плацентарный</w:t>
      </w:r>
      <w:proofErr w:type="spellEnd"/>
      <w:r>
        <w:rPr>
          <w:rFonts w:ascii="Times New Roman" w:hAnsi="Times New Roman"/>
          <w:w w:val="100"/>
          <w:sz w:val="24"/>
        </w:rPr>
        <w:t xml:space="preserve"> кровоток, </w:t>
      </w:r>
      <w:proofErr w:type="spellStart"/>
      <w:r>
        <w:rPr>
          <w:rFonts w:ascii="Times New Roman" w:hAnsi="Times New Roman"/>
          <w:w w:val="100"/>
          <w:sz w:val="24"/>
        </w:rPr>
        <w:t>фетоплацентарный</w:t>
      </w:r>
      <w:proofErr w:type="spellEnd"/>
      <w:r>
        <w:rPr>
          <w:rFonts w:ascii="Times New Roman" w:hAnsi="Times New Roman"/>
          <w:w w:val="100"/>
          <w:sz w:val="24"/>
        </w:rPr>
        <w:t xml:space="preserve"> кровоток, плодовый кровоток</w:t>
      </w:r>
    </w:p>
    <w:p w:rsidR="00B54776" w:rsidRDefault="00B54776" w:rsidP="00B54776">
      <w:pPr>
        <w:pStyle w:val="a4"/>
        <w:rPr>
          <w:rFonts w:ascii="Times New Roman" w:hAnsi="Times New Roman"/>
          <w:sz w:val="24"/>
        </w:rPr>
      </w:pPr>
    </w:p>
    <w:p w:rsidR="00B54776" w:rsidRPr="00515B11" w:rsidRDefault="00B54776" w:rsidP="00B54776">
      <w:pPr>
        <w:rPr>
          <w:rFonts w:ascii="Times New Roman" w:hAnsi="Times New Roman"/>
          <w:sz w:val="24"/>
          <w:lang w:val="en-US"/>
        </w:rPr>
      </w:pPr>
    </w:p>
    <w:p w:rsidR="00B54776" w:rsidRDefault="00B54776" w:rsidP="00B54776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УДК 612: 616</w:t>
      </w:r>
      <w:r>
        <w:rPr>
          <w:rFonts w:ascii="Times New Roman" w:hAnsi="Times New Roman"/>
          <w:sz w:val="24"/>
        </w:rPr>
        <w:softHyphen/>
        <w:t xml:space="preserve">053.7 </w:t>
      </w:r>
    </w:p>
    <w:p w:rsidR="00B54776" w:rsidRDefault="00B54776" w:rsidP="00B5477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МОРФОФУНКЦИОНАЛЬНЫХ ПРОФИЛЕЙ И МЕЖСИСТЕМНЫХ ВЗАИМОСВЯЗЕЙ У ЮНОШЕЙ – УРОЖЕНЦЕВ СЕВЕРА С РАЗЛИЧНЫМ ТИПОМ ВЕГЕТАТИВНОЙ РЕГУЛЯЦИИ</w:t>
      </w:r>
    </w:p>
    <w:p w:rsidR="00B54776" w:rsidRDefault="00B54776" w:rsidP="00B5477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© 2016 г. И. В. Аверьянова, А. Л. Максимов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proofErr w:type="spellStart"/>
      <w:r>
        <w:rPr>
          <w:rFonts w:ascii="Times New Roman" w:hAnsi="Times New Roman"/>
          <w:w w:val="100"/>
          <w:sz w:val="24"/>
        </w:rPr>
        <w:t>Научно</w:t>
      </w:r>
      <w:r>
        <w:rPr>
          <w:rFonts w:ascii="Times New Roman" w:hAnsi="Times New Roman"/>
          <w:w w:val="100"/>
          <w:sz w:val="24"/>
        </w:rPr>
        <w:softHyphen/>
        <w:t>исследовательский</w:t>
      </w:r>
      <w:proofErr w:type="spellEnd"/>
      <w:r>
        <w:rPr>
          <w:rFonts w:ascii="Times New Roman" w:hAnsi="Times New Roman"/>
          <w:w w:val="100"/>
          <w:sz w:val="24"/>
        </w:rPr>
        <w:t xml:space="preserve"> центр «Арктика» Дальневосточного отделения РАН, </w:t>
      </w:r>
      <w:proofErr w:type="gramStart"/>
      <w:r>
        <w:rPr>
          <w:rFonts w:ascii="Times New Roman" w:hAnsi="Times New Roman"/>
          <w:w w:val="100"/>
          <w:sz w:val="24"/>
        </w:rPr>
        <w:t>г</w:t>
      </w:r>
      <w:proofErr w:type="gramEnd"/>
      <w:r>
        <w:rPr>
          <w:rFonts w:ascii="Times New Roman" w:hAnsi="Times New Roman"/>
          <w:w w:val="100"/>
          <w:sz w:val="24"/>
        </w:rPr>
        <w:t>. Магадан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В исследованиях приняли участие 320 юношей – уроженцев </w:t>
      </w:r>
      <w:proofErr w:type="spellStart"/>
      <w:r>
        <w:rPr>
          <w:rFonts w:ascii="Times New Roman" w:hAnsi="Times New Roman"/>
          <w:w w:val="100"/>
          <w:sz w:val="24"/>
        </w:rPr>
        <w:t>Северо</w:t>
      </w:r>
      <w:r>
        <w:rPr>
          <w:rFonts w:ascii="Times New Roman" w:hAnsi="Times New Roman"/>
          <w:w w:val="100"/>
          <w:sz w:val="24"/>
        </w:rPr>
        <w:softHyphen/>
        <w:t>Востока</w:t>
      </w:r>
      <w:proofErr w:type="spellEnd"/>
      <w:r>
        <w:rPr>
          <w:rFonts w:ascii="Times New Roman" w:hAnsi="Times New Roman"/>
          <w:w w:val="100"/>
          <w:sz w:val="24"/>
        </w:rPr>
        <w:t xml:space="preserve"> России из числа европеоидов. Все обследованные были дифференцированы на три группы в зависимости от исходного типа вегетативной регуляции. У испытуемых исследовали показатели физического развития, гемодинамики, </w:t>
      </w:r>
      <w:proofErr w:type="spellStart"/>
      <w:r>
        <w:rPr>
          <w:rFonts w:ascii="Times New Roman" w:hAnsi="Times New Roman"/>
          <w:w w:val="100"/>
          <w:sz w:val="24"/>
        </w:rPr>
        <w:t>газоанализа</w:t>
      </w:r>
      <w:proofErr w:type="spellEnd"/>
      <w:r>
        <w:rPr>
          <w:rFonts w:ascii="Times New Roman" w:hAnsi="Times New Roman"/>
          <w:w w:val="100"/>
          <w:sz w:val="24"/>
        </w:rPr>
        <w:t xml:space="preserve">, функции внешнего дыхания и вариабельности сердечного ритма. Установлено, что у представителей всех трех групп отмечается напряжение регуляторных механизмов </w:t>
      </w:r>
      <w:proofErr w:type="spellStart"/>
      <w:r>
        <w:rPr>
          <w:rFonts w:ascii="Times New Roman" w:hAnsi="Times New Roman"/>
          <w:w w:val="100"/>
          <w:sz w:val="24"/>
        </w:rPr>
        <w:t>саморегуляции</w:t>
      </w:r>
      <w:proofErr w:type="spellEnd"/>
      <w:r>
        <w:rPr>
          <w:rFonts w:ascii="Times New Roman" w:hAnsi="Times New Roman"/>
          <w:w w:val="100"/>
          <w:sz w:val="24"/>
        </w:rPr>
        <w:t xml:space="preserve">, в большей степени выраженное у испытуемых с </w:t>
      </w:r>
      <w:proofErr w:type="spellStart"/>
      <w:r>
        <w:rPr>
          <w:rFonts w:ascii="Times New Roman" w:hAnsi="Times New Roman"/>
          <w:w w:val="100"/>
          <w:sz w:val="24"/>
        </w:rPr>
        <w:t>симпатикотонической</w:t>
      </w:r>
      <w:proofErr w:type="spellEnd"/>
      <w:r>
        <w:rPr>
          <w:rFonts w:ascii="Times New Roman" w:hAnsi="Times New Roman"/>
          <w:w w:val="100"/>
          <w:sz w:val="24"/>
        </w:rPr>
        <w:t xml:space="preserve"> направленностью в регуляции сердечного ритма. Проведенные нами исследования выявили, что тип вегетативной регуляции не только определяет различия в параметрах вариабельности сердечного ритма, но и связан с морфофункциональными показателями. При этом у юношей с различным типом вегетативной регуляции формируется характерный только для них морфофункциональный профиль, структура которого определяется количеством статистически информативных показателей, объединяемых в определенное число факторов. Отмечено, что на основании структуры морфофункциональных портретов можно оценивать динамику хода адаптивных перестроек среди юношей – уроженцев Севера, где сдвиги структуры матрицы в сторону, характерную для </w:t>
      </w:r>
      <w:proofErr w:type="spellStart"/>
      <w:r>
        <w:rPr>
          <w:rFonts w:ascii="Times New Roman" w:hAnsi="Times New Roman"/>
          <w:w w:val="100"/>
          <w:sz w:val="24"/>
        </w:rPr>
        <w:t>ваготоников</w:t>
      </w:r>
      <w:proofErr w:type="spellEnd"/>
      <w:r>
        <w:rPr>
          <w:rFonts w:ascii="Times New Roman" w:hAnsi="Times New Roman"/>
          <w:w w:val="100"/>
          <w:sz w:val="24"/>
        </w:rPr>
        <w:t>, указывают на увеличение адаптационного потенциала изучаемых лиц.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юноши, тип вегетативной регуляции, морфофункциональные показатели, факторный анализ, морфофункциональный профиль </w:t>
      </w:r>
    </w:p>
    <w:p w:rsidR="00B54776" w:rsidRDefault="00B54776" w:rsidP="00B54776">
      <w:pPr>
        <w:pStyle w:val="a4"/>
        <w:rPr>
          <w:rFonts w:ascii="Times New Roman" w:hAnsi="Times New Roman"/>
          <w:caps/>
          <w:sz w:val="24"/>
        </w:rPr>
      </w:pPr>
    </w:p>
    <w:p w:rsidR="00B54776" w:rsidRPr="00515B11" w:rsidRDefault="00B54776" w:rsidP="00B54776">
      <w:pPr>
        <w:rPr>
          <w:rFonts w:ascii="Times New Roman" w:hAnsi="Times New Roman"/>
          <w:sz w:val="24"/>
          <w:lang w:val="en-US"/>
        </w:rPr>
      </w:pPr>
    </w:p>
    <w:p w:rsidR="00B54776" w:rsidRPr="00515B11" w:rsidRDefault="00B54776" w:rsidP="00B54776">
      <w:pPr>
        <w:pStyle w:val="a5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УДК</w:t>
      </w:r>
      <w:r w:rsidRPr="00515B11">
        <w:rPr>
          <w:rFonts w:ascii="Times New Roman" w:hAnsi="Times New Roman"/>
          <w:sz w:val="24"/>
          <w:lang w:val="en-US"/>
        </w:rPr>
        <w:t xml:space="preserve"> 612.821</w:t>
      </w:r>
    </w:p>
    <w:p w:rsidR="00B54776" w:rsidRDefault="00B54776" w:rsidP="00B5477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СОВРЕМЕННЫЕ АСПЕКТЫ ИЗУЧЕНИЯ ФУНКЦИОНАЛЬНОЙ МЕЖПОЛУШАРНОЙ АСИММЕТРИИ МОЗГА (обзор литературы)</w:t>
      </w:r>
    </w:p>
    <w:p w:rsidR="00B54776" w:rsidRDefault="00B54776" w:rsidP="00B5477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© 2016 г. Ю. П. Игнатова, И. И. Макарова, О. Ю. </w:t>
      </w:r>
      <w:proofErr w:type="spellStart"/>
      <w:r>
        <w:rPr>
          <w:rFonts w:ascii="Times New Roman" w:hAnsi="Times New Roman"/>
        </w:rPr>
        <w:t>Зенина</w:t>
      </w:r>
      <w:proofErr w:type="spellEnd"/>
      <w:r>
        <w:rPr>
          <w:rFonts w:ascii="Times New Roman" w:hAnsi="Times New Roman"/>
        </w:rPr>
        <w:t>, А. В. Аксенова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Тверской государственный медицинский университет, </w:t>
      </w:r>
      <w:proofErr w:type="gramStart"/>
      <w:r>
        <w:rPr>
          <w:rFonts w:ascii="Times New Roman" w:hAnsi="Times New Roman"/>
          <w:w w:val="100"/>
          <w:sz w:val="24"/>
        </w:rPr>
        <w:t>г</w:t>
      </w:r>
      <w:proofErr w:type="gramEnd"/>
      <w:r>
        <w:rPr>
          <w:rFonts w:ascii="Times New Roman" w:hAnsi="Times New Roman"/>
          <w:w w:val="100"/>
          <w:sz w:val="24"/>
        </w:rPr>
        <w:t>. Тверь</w:t>
      </w:r>
    </w:p>
    <w:p w:rsidR="00B54776" w:rsidRDefault="00B54776" w:rsidP="00B54776">
      <w:pPr>
        <w:pStyle w:val="a9"/>
        <w:rPr>
          <w:rFonts w:ascii="Times New Roman" w:hAnsi="Times New Roman" w:cs="LiteraturnayaC"/>
          <w:w w:val="100"/>
          <w:sz w:val="24"/>
          <w:szCs w:val="20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С позиций классических и современных представлений вопрос организации функциональной межполушарной асимметрии вызывает большой интерес у разных специалистов. В настоящей статье представлен обзор современных данных о стационарных и динамических свойствах функциональной специализации полушарий </w:t>
      </w:r>
      <w:r>
        <w:rPr>
          <w:rFonts w:ascii="Times New Roman" w:hAnsi="Times New Roman"/>
          <w:w w:val="100"/>
          <w:sz w:val="24"/>
        </w:rPr>
        <w:lastRenderedPageBreak/>
        <w:t xml:space="preserve">головного мозга. Освещены вопросы функциональной недостаточности межполушарных взаимодействий при некоторых заболеваниях, представлен сравнительный анализ показателей </w:t>
      </w:r>
      <w:proofErr w:type="spellStart"/>
      <w:r>
        <w:rPr>
          <w:rFonts w:ascii="Times New Roman" w:hAnsi="Times New Roman"/>
          <w:w w:val="100"/>
          <w:sz w:val="24"/>
        </w:rPr>
        <w:t>социально</w:t>
      </w:r>
      <w:r>
        <w:rPr>
          <w:rFonts w:ascii="Times New Roman" w:hAnsi="Times New Roman"/>
          <w:w w:val="100"/>
          <w:sz w:val="24"/>
        </w:rPr>
        <w:softHyphen/>
        <w:t>психологической</w:t>
      </w:r>
      <w:proofErr w:type="spellEnd"/>
      <w:r>
        <w:rPr>
          <w:rFonts w:ascii="Times New Roman" w:hAnsi="Times New Roman"/>
          <w:w w:val="100"/>
          <w:sz w:val="24"/>
        </w:rPr>
        <w:t xml:space="preserve"> адаптации у лиц с доминированием одного из полушарий, а также особенности </w:t>
      </w:r>
      <w:proofErr w:type="spellStart"/>
      <w:r>
        <w:rPr>
          <w:rFonts w:ascii="Times New Roman" w:hAnsi="Times New Roman"/>
          <w:w w:val="100"/>
          <w:sz w:val="24"/>
        </w:rPr>
        <w:t>латерализации</w:t>
      </w:r>
      <w:proofErr w:type="spellEnd"/>
      <w:r>
        <w:rPr>
          <w:rFonts w:ascii="Times New Roman" w:hAnsi="Times New Roman"/>
          <w:w w:val="100"/>
          <w:sz w:val="24"/>
        </w:rPr>
        <w:t xml:space="preserve"> здорового мужского и женского мозга и при патологии. Авторы статьи отмечают ведущую роль в межполушарном взаимодействии мозолистого тела, особенности межполушарной асимметрии правшей и левшей как отражение взаимодействия коры и регуляторных систем мозга во время спокойного бодрствования, активной деятельности и засыпания. В статье обобщены особенности латерального устройства мозга у спортсменов некоторых видов спорта и межполушарные взаимодействия в различные фазы </w:t>
      </w:r>
      <w:proofErr w:type="spellStart"/>
      <w:r>
        <w:rPr>
          <w:rFonts w:ascii="Times New Roman" w:hAnsi="Times New Roman"/>
          <w:w w:val="100"/>
          <w:sz w:val="24"/>
        </w:rPr>
        <w:t>десинхроноза</w:t>
      </w:r>
      <w:proofErr w:type="spellEnd"/>
      <w:r>
        <w:rPr>
          <w:rFonts w:ascii="Times New Roman" w:hAnsi="Times New Roman"/>
          <w:w w:val="100"/>
          <w:sz w:val="24"/>
        </w:rPr>
        <w:t xml:space="preserve">, при старении организма в норме и </w:t>
      </w:r>
      <w:proofErr w:type="spellStart"/>
      <w:r>
        <w:rPr>
          <w:rFonts w:ascii="Times New Roman" w:hAnsi="Times New Roman"/>
          <w:w w:val="100"/>
          <w:sz w:val="24"/>
        </w:rPr>
        <w:t>стрессирующих</w:t>
      </w:r>
      <w:proofErr w:type="spellEnd"/>
      <w:r>
        <w:rPr>
          <w:rFonts w:ascii="Times New Roman" w:hAnsi="Times New Roman"/>
          <w:w w:val="100"/>
          <w:sz w:val="24"/>
        </w:rPr>
        <w:t xml:space="preserve"> экологических условиях. Авторы затрагивают вопрос о связи беременности и </w:t>
      </w:r>
      <w:proofErr w:type="spellStart"/>
      <w:r>
        <w:rPr>
          <w:rFonts w:ascii="Times New Roman" w:hAnsi="Times New Roman"/>
          <w:w w:val="100"/>
          <w:sz w:val="24"/>
        </w:rPr>
        <w:t>латерализации</w:t>
      </w:r>
      <w:proofErr w:type="spellEnd"/>
      <w:r>
        <w:rPr>
          <w:rFonts w:ascii="Times New Roman" w:hAnsi="Times New Roman"/>
          <w:w w:val="100"/>
          <w:sz w:val="24"/>
        </w:rPr>
        <w:t xml:space="preserve"> головного мозга, а также функциональной специализации полушарий с асимметрией вегетативной нервной системы.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функциональная межполушарная асимметрия, стабильность, динамичность, патология, адаптация</w:t>
      </w:r>
    </w:p>
    <w:p w:rsidR="00B54776" w:rsidRDefault="00B54776" w:rsidP="00B54776">
      <w:pPr>
        <w:pStyle w:val="a4"/>
        <w:rPr>
          <w:rFonts w:ascii="Times New Roman" w:hAnsi="Times New Roman"/>
          <w:sz w:val="24"/>
        </w:rPr>
      </w:pPr>
    </w:p>
    <w:p w:rsidR="00B54776" w:rsidRPr="00515B11" w:rsidRDefault="00B54776" w:rsidP="00B54776">
      <w:pPr>
        <w:rPr>
          <w:rFonts w:ascii="Times New Roman" w:hAnsi="Times New Roman"/>
          <w:sz w:val="24"/>
          <w:lang w:val="en-US"/>
        </w:rPr>
      </w:pPr>
    </w:p>
    <w:p w:rsidR="00B54776" w:rsidRPr="00515B11" w:rsidRDefault="00B54776" w:rsidP="00B54776">
      <w:pPr>
        <w:pStyle w:val="a5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УДК</w:t>
      </w:r>
      <w:r w:rsidRPr="00515B11">
        <w:rPr>
          <w:rFonts w:ascii="Times New Roman" w:hAnsi="Times New Roman"/>
          <w:sz w:val="24"/>
          <w:lang w:val="en-US"/>
        </w:rPr>
        <w:t xml:space="preserve"> 612.821+159.9+616</w:t>
      </w:r>
      <w:r w:rsidRPr="00515B11">
        <w:rPr>
          <w:rFonts w:ascii="Times New Roman" w:hAnsi="Times New Roman"/>
          <w:sz w:val="24"/>
          <w:lang w:val="en-US"/>
        </w:rPr>
        <w:softHyphen/>
        <w:t>053.9</w:t>
      </w:r>
    </w:p>
    <w:p w:rsidR="00B54776" w:rsidRDefault="00B54776" w:rsidP="00B5477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ЭНЕРГЕТИЧЕСКОЕ СОСТОЯНИЕ ГОЛОВНОГО МОЗГА У ЖЕНЩИН </w:t>
      </w:r>
      <w:r>
        <w:rPr>
          <w:rFonts w:ascii="Times New Roman" w:hAnsi="Times New Roman"/>
          <w:b/>
          <w:sz w:val="24"/>
        </w:rPr>
        <w:br/>
        <w:t>ПОЖИЛОГО ВОЗРАСТА, ПРОЖИВАЮЩИХ В УСЛОВИЯХ СЕВЕРА</w:t>
      </w:r>
    </w:p>
    <w:p w:rsidR="00B54776" w:rsidRDefault="00B54776" w:rsidP="00B5477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© 2016 г. И. С. Депутат, А. В. </w:t>
      </w:r>
      <w:proofErr w:type="spellStart"/>
      <w:r>
        <w:rPr>
          <w:rFonts w:ascii="Times New Roman" w:hAnsi="Times New Roman"/>
        </w:rPr>
        <w:t>Грибанов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Нехорошкова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 xml:space="preserve">Л. Ф. </w:t>
      </w:r>
      <w:proofErr w:type="spellStart"/>
      <w:r>
        <w:rPr>
          <w:rFonts w:ascii="Times New Roman" w:hAnsi="Times New Roman"/>
        </w:rPr>
        <w:t>Старцева</w:t>
      </w:r>
      <w:proofErr w:type="spellEnd"/>
      <w:r>
        <w:rPr>
          <w:rFonts w:ascii="Times New Roman" w:hAnsi="Times New Roman"/>
        </w:rPr>
        <w:t xml:space="preserve">, И. Л. </w:t>
      </w:r>
      <w:proofErr w:type="spellStart"/>
      <w:r>
        <w:rPr>
          <w:rFonts w:ascii="Times New Roman" w:hAnsi="Times New Roman"/>
        </w:rPr>
        <w:t>Большевидцева</w:t>
      </w:r>
      <w:proofErr w:type="spellEnd"/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Институт </w:t>
      </w:r>
      <w:proofErr w:type="spellStart"/>
      <w:r>
        <w:rPr>
          <w:rFonts w:ascii="Times New Roman" w:hAnsi="Times New Roman"/>
          <w:w w:val="100"/>
          <w:sz w:val="24"/>
        </w:rPr>
        <w:t>медико</w:t>
      </w:r>
      <w:r>
        <w:rPr>
          <w:rFonts w:ascii="Times New Roman" w:hAnsi="Times New Roman"/>
          <w:w w:val="100"/>
          <w:sz w:val="24"/>
        </w:rPr>
        <w:softHyphen/>
        <w:t>биологических</w:t>
      </w:r>
      <w:proofErr w:type="spellEnd"/>
      <w:r>
        <w:rPr>
          <w:rFonts w:ascii="Times New Roman" w:hAnsi="Times New Roman"/>
          <w:w w:val="100"/>
          <w:sz w:val="24"/>
        </w:rPr>
        <w:t xml:space="preserve"> исследований Северного (Арктического) федерального университета </w:t>
      </w:r>
      <w:r>
        <w:rPr>
          <w:rFonts w:ascii="Times New Roman" w:hAnsi="Times New Roman"/>
          <w:w w:val="100"/>
          <w:sz w:val="24"/>
        </w:rPr>
        <w:br/>
        <w:t xml:space="preserve">имени М. В. Ломоносова, </w:t>
      </w:r>
      <w:proofErr w:type="gramStart"/>
      <w:r>
        <w:rPr>
          <w:rFonts w:ascii="Times New Roman" w:hAnsi="Times New Roman"/>
          <w:w w:val="100"/>
          <w:sz w:val="24"/>
        </w:rPr>
        <w:t>г</w:t>
      </w:r>
      <w:proofErr w:type="gramEnd"/>
      <w:r>
        <w:rPr>
          <w:rFonts w:ascii="Times New Roman" w:hAnsi="Times New Roman"/>
          <w:w w:val="100"/>
          <w:sz w:val="24"/>
        </w:rPr>
        <w:t>. Архангельск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В статье представлены результаты исследования энергетического обмена головного мозга у 267 </w:t>
      </w:r>
      <w:proofErr w:type="spellStart"/>
      <w:r>
        <w:rPr>
          <w:rFonts w:ascii="Times New Roman" w:hAnsi="Times New Roman"/>
          <w:w w:val="100"/>
          <w:sz w:val="24"/>
        </w:rPr>
        <w:t>женщин</w:t>
      </w:r>
      <w:r>
        <w:rPr>
          <w:rFonts w:ascii="Times New Roman" w:hAnsi="Times New Roman"/>
          <w:w w:val="100"/>
          <w:sz w:val="24"/>
        </w:rPr>
        <w:softHyphen/>
        <w:t>северянок</w:t>
      </w:r>
      <w:proofErr w:type="spellEnd"/>
      <w:r>
        <w:rPr>
          <w:rFonts w:ascii="Times New Roman" w:hAnsi="Times New Roman"/>
          <w:w w:val="100"/>
          <w:sz w:val="24"/>
        </w:rPr>
        <w:t xml:space="preserve"> пожилого возраста, оценка которого осуществлялась путем регистрации постоянного потенциала головного мозга. Уровень постоянного потенциала (УПП) анализировали с помощью 12</w:t>
      </w:r>
      <w:r>
        <w:rPr>
          <w:rFonts w:ascii="Times New Roman" w:hAnsi="Times New Roman"/>
          <w:w w:val="100"/>
          <w:sz w:val="24"/>
        </w:rPr>
        <w:softHyphen/>
        <w:t xml:space="preserve">канального </w:t>
      </w:r>
      <w:proofErr w:type="spellStart"/>
      <w:r>
        <w:rPr>
          <w:rFonts w:ascii="Times New Roman" w:hAnsi="Times New Roman"/>
          <w:w w:val="100"/>
          <w:sz w:val="24"/>
        </w:rPr>
        <w:t>аппаратно</w:t>
      </w:r>
      <w:r>
        <w:rPr>
          <w:rFonts w:ascii="Times New Roman" w:hAnsi="Times New Roman"/>
          <w:w w:val="100"/>
          <w:sz w:val="24"/>
        </w:rPr>
        <w:softHyphen/>
        <w:t>программного</w:t>
      </w:r>
      <w:proofErr w:type="spellEnd"/>
      <w:r>
        <w:rPr>
          <w:rFonts w:ascii="Times New Roman" w:hAnsi="Times New Roman"/>
          <w:w w:val="100"/>
          <w:sz w:val="24"/>
        </w:rPr>
        <w:t xml:space="preserve"> диагностического комплекса «</w:t>
      </w:r>
      <w:proofErr w:type="spellStart"/>
      <w:r>
        <w:rPr>
          <w:rFonts w:ascii="Times New Roman" w:hAnsi="Times New Roman"/>
          <w:w w:val="100"/>
          <w:sz w:val="24"/>
        </w:rPr>
        <w:t>Нейроэнергометр</w:t>
      </w:r>
      <w:r>
        <w:rPr>
          <w:rFonts w:ascii="Times New Roman" w:hAnsi="Times New Roman"/>
          <w:w w:val="100"/>
          <w:sz w:val="24"/>
        </w:rPr>
        <w:softHyphen/>
        <w:t>КМ</w:t>
      </w:r>
      <w:proofErr w:type="spellEnd"/>
      <w:r>
        <w:rPr>
          <w:rFonts w:ascii="Times New Roman" w:hAnsi="Times New Roman"/>
          <w:w w:val="100"/>
          <w:sz w:val="24"/>
        </w:rPr>
        <w:t xml:space="preserve">» в </w:t>
      </w:r>
      <w:proofErr w:type="spellStart"/>
      <w:r>
        <w:rPr>
          <w:rFonts w:ascii="Times New Roman" w:hAnsi="Times New Roman"/>
          <w:w w:val="100"/>
          <w:sz w:val="24"/>
        </w:rPr>
        <w:t>монополярных</w:t>
      </w:r>
      <w:proofErr w:type="spellEnd"/>
      <w:r>
        <w:rPr>
          <w:rFonts w:ascii="Times New Roman" w:hAnsi="Times New Roman"/>
          <w:w w:val="100"/>
          <w:sz w:val="24"/>
        </w:rPr>
        <w:t xml:space="preserve"> отведениях. Полученные характеристики распределения УПП сравнивали со среднестатистическими «эталонными» значениями для соответствующего возрастного периода, встроенными в программное обеспечение комплекса. В результате исследования выявлено изменение распределения УПП по всем отделам головного мозга у пожилых женщин, проживающих в условиях Севера, в сравнении с эталонными значениями, выражающееся в повышении суммарных показателей постоянного потенциала, абсолютных значений по всем отведениям, что можно расценивать как проявления </w:t>
      </w:r>
      <w:proofErr w:type="gramStart"/>
      <w:r>
        <w:rPr>
          <w:rFonts w:ascii="Times New Roman" w:hAnsi="Times New Roman"/>
          <w:w w:val="100"/>
          <w:sz w:val="24"/>
        </w:rPr>
        <w:t>экологической</w:t>
      </w:r>
      <w:proofErr w:type="gramEnd"/>
      <w:r>
        <w:rPr>
          <w:rFonts w:ascii="Times New Roman" w:hAnsi="Times New Roman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w w:val="100"/>
          <w:sz w:val="24"/>
        </w:rPr>
        <w:t>адаптированности</w:t>
      </w:r>
      <w:proofErr w:type="spellEnd"/>
      <w:r>
        <w:rPr>
          <w:rFonts w:ascii="Times New Roman" w:hAnsi="Times New Roman"/>
          <w:w w:val="100"/>
          <w:sz w:val="24"/>
        </w:rPr>
        <w:t xml:space="preserve"> к условиям Севера. Повышение УПП головного мозга у пожилых </w:t>
      </w:r>
      <w:proofErr w:type="spellStart"/>
      <w:r>
        <w:rPr>
          <w:rFonts w:ascii="Times New Roman" w:hAnsi="Times New Roman"/>
          <w:w w:val="100"/>
          <w:sz w:val="24"/>
        </w:rPr>
        <w:t>женщин</w:t>
      </w:r>
      <w:r>
        <w:rPr>
          <w:rFonts w:ascii="Times New Roman" w:hAnsi="Times New Roman"/>
          <w:w w:val="100"/>
          <w:sz w:val="24"/>
        </w:rPr>
        <w:softHyphen/>
        <w:t>северянок</w:t>
      </w:r>
      <w:proofErr w:type="spellEnd"/>
      <w:r>
        <w:rPr>
          <w:rFonts w:ascii="Times New Roman" w:hAnsi="Times New Roman"/>
          <w:w w:val="100"/>
          <w:sz w:val="24"/>
        </w:rPr>
        <w:t xml:space="preserve"> в сравнении с эталонными значениями реализуется за счет его увеличения во всех областях, что свидетельствует о функциональном напряжении головного мозга и снижении его резервных возможностей. Обнаружено также сохранение принципа </w:t>
      </w:r>
      <w:proofErr w:type="spellStart"/>
      <w:r>
        <w:rPr>
          <w:rFonts w:ascii="Times New Roman" w:hAnsi="Times New Roman"/>
          <w:w w:val="100"/>
          <w:sz w:val="24"/>
        </w:rPr>
        <w:t>куполообразности</w:t>
      </w:r>
      <w:proofErr w:type="spellEnd"/>
      <w:r>
        <w:rPr>
          <w:rFonts w:ascii="Times New Roman" w:hAnsi="Times New Roman"/>
          <w:w w:val="100"/>
          <w:sz w:val="24"/>
        </w:rPr>
        <w:t xml:space="preserve"> </w:t>
      </w:r>
      <w:r>
        <w:rPr>
          <w:rFonts w:ascii="Times New Roman" w:hAnsi="Times New Roman"/>
          <w:w w:val="100"/>
          <w:sz w:val="24"/>
        </w:rPr>
        <w:lastRenderedPageBreak/>
        <w:t xml:space="preserve">распределения постоянного потенциала мозга у пожилых северян, с тенденцией к деформации плавности; относительное уменьшение межполушарных различий и высокая </w:t>
      </w:r>
      <w:proofErr w:type="spellStart"/>
      <w:r>
        <w:rPr>
          <w:rFonts w:ascii="Times New Roman" w:hAnsi="Times New Roman"/>
          <w:w w:val="100"/>
          <w:sz w:val="24"/>
        </w:rPr>
        <w:t>интериндивидуальная</w:t>
      </w:r>
      <w:proofErr w:type="spellEnd"/>
      <w:r>
        <w:rPr>
          <w:rFonts w:ascii="Times New Roman" w:hAnsi="Times New Roman"/>
          <w:w w:val="100"/>
          <w:sz w:val="24"/>
        </w:rPr>
        <w:t xml:space="preserve"> вариабельность показателей УПП; сглаживание регионарных различий, что может быть связано с уменьшением специализации коры в процессе старения. 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север, женщины пожилого возраста, энергетическое состояние головного мозга, уровень постоянного потенциала</w:t>
      </w:r>
    </w:p>
    <w:p w:rsidR="00B54776" w:rsidRDefault="00B54776" w:rsidP="00B54776">
      <w:pPr>
        <w:pStyle w:val="a4"/>
        <w:rPr>
          <w:rFonts w:ascii="Times New Roman" w:hAnsi="Times New Roman"/>
          <w:sz w:val="24"/>
        </w:rPr>
      </w:pPr>
    </w:p>
    <w:p w:rsidR="00B54776" w:rsidRPr="00515B11" w:rsidRDefault="00B54776" w:rsidP="00B54776">
      <w:pPr>
        <w:rPr>
          <w:rFonts w:ascii="Times New Roman" w:hAnsi="Times New Roman"/>
          <w:sz w:val="24"/>
          <w:lang w:val="en-US"/>
        </w:rPr>
      </w:pPr>
    </w:p>
    <w:p w:rsidR="00B54776" w:rsidRPr="00515B11" w:rsidRDefault="00B54776" w:rsidP="00B54776">
      <w:pPr>
        <w:pStyle w:val="a5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УДК</w:t>
      </w:r>
      <w:r w:rsidRPr="00515B11">
        <w:rPr>
          <w:rFonts w:ascii="Times New Roman" w:hAnsi="Times New Roman"/>
          <w:sz w:val="24"/>
          <w:lang w:val="en-US"/>
        </w:rPr>
        <w:t xml:space="preserve"> 616</w:t>
      </w:r>
      <w:r w:rsidRPr="00515B11">
        <w:rPr>
          <w:rFonts w:ascii="Times New Roman" w:hAnsi="Times New Roman"/>
          <w:sz w:val="24"/>
          <w:lang w:val="en-US"/>
        </w:rPr>
        <w:softHyphen/>
        <w:t xml:space="preserve">053.2:614.7 </w:t>
      </w:r>
    </w:p>
    <w:p w:rsidR="00B54776" w:rsidRDefault="00B54776" w:rsidP="00B5477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ОЦЕНКА ЭПИДЕМИОЛОГИЧЕСКОГО РИСКА ЗАБОЛЕВАЕМОСТИ ДЕТЕЙ </w:t>
      </w:r>
      <w:r>
        <w:rPr>
          <w:rFonts w:ascii="Times New Roman" w:hAnsi="Times New Roman"/>
          <w:b/>
          <w:sz w:val="24"/>
        </w:rPr>
        <w:br/>
        <w:t>ОТ ВОЗДЕЙСТВИЯ ФАКТОРОВ СРЕДЫ ОБИТАНИЯ</w:t>
      </w:r>
    </w:p>
    <w:p w:rsidR="00B54776" w:rsidRDefault="00B54776" w:rsidP="00B54776">
      <w:pPr>
        <w:pStyle w:val="a7"/>
        <w:rPr>
          <w:rFonts w:ascii="Times New Roman" w:hAnsi="Times New Roman"/>
          <w:caps/>
        </w:rPr>
      </w:pPr>
      <w:r>
        <w:rPr>
          <w:rFonts w:ascii="Times New Roman" w:hAnsi="Times New Roman"/>
        </w:rPr>
        <w:t>© 2016 г. А. В. Прусакова, В. М. Прусаков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  <w:vertAlign w:val="superscript"/>
        </w:rPr>
      </w:pPr>
      <w:r>
        <w:rPr>
          <w:rFonts w:ascii="Times New Roman" w:hAnsi="Times New Roman"/>
          <w:w w:val="100"/>
          <w:sz w:val="24"/>
        </w:rPr>
        <w:t xml:space="preserve">Ангарская государственная техническая академия, </w:t>
      </w:r>
      <w:proofErr w:type="gramStart"/>
      <w:r>
        <w:rPr>
          <w:rFonts w:ascii="Times New Roman" w:hAnsi="Times New Roman"/>
          <w:w w:val="100"/>
          <w:sz w:val="24"/>
        </w:rPr>
        <w:t>г</w:t>
      </w:r>
      <w:proofErr w:type="gramEnd"/>
      <w:r>
        <w:rPr>
          <w:rFonts w:ascii="Times New Roman" w:hAnsi="Times New Roman"/>
          <w:w w:val="100"/>
          <w:sz w:val="24"/>
        </w:rPr>
        <w:t xml:space="preserve">. </w:t>
      </w:r>
      <w:proofErr w:type="spellStart"/>
      <w:r>
        <w:rPr>
          <w:rFonts w:ascii="Times New Roman" w:hAnsi="Times New Roman"/>
          <w:w w:val="100"/>
          <w:sz w:val="24"/>
        </w:rPr>
        <w:t>Ангарск</w:t>
      </w:r>
      <w:proofErr w:type="spellEnd"/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Целью работы является сравнительная характеристика эффективности показателей относительного эпидемиологического риска первичной и общей заболеваемости по обращаемости при оценке </w:t>
      </w:r>
      <w:proofErr w:type="spellStart"/>
      <w:r>
        <w:rPr>
          <w:rFonts w:ascii="Times New Roman" w:hAnsi="Times New Roman"/>
          <w:w w:val="100"/>
          <w:sz w:val="24"/>
        </w:rPr>
        <w:t>медико</w:t>
      </w:r>
      <w:r>
        <w:rPr>
          <w:rFonts w:ascii="Times New Roman" w:hAnsi="Times New Roman"/>
          <w:w w:val="100"/>
          <w:sz w:val="24"/>
        </w:rPr>
        <w:softHyphen/>
        <w:t>экологической</w:t>
      </w:r>
      <w:proofErr w:type="spellEnd"/>
      <w:r>
        <w:rPr>
          <w:rFonts w:ascii="Times New Roman" w:hAnsi="Times New Roman"/>
          <w:w w:val="100"/>
          <w:sz w:val="24"/>
        </w:rPr>
        <w:t xml:space="preserve"> ситуации и массовой неинфекционной заболеваемости населения. Для решения поставленных цели и задач выполнили ретроспективное исследование заболеваемости детей в 2000–2012 годы на 33 административных территориях Иркутской области по материалам статистической отчетности (форма № 12). Относительный риск (ОР) первичной и общей заболеваемости всеми болезнями и болезнями 11 отдельных классов рассчитывали с использованием региональных фоновых показателей заболеваемости, полученных статистическим путем. </w:t>
      </w:r>
      <w:proofErr w:type="gramStart"/>
      <w:r>
        <w:rPr>
          <w:rFonts w:ascii="Times New Roman" w:hAnsi="Times New Roman"/>
          <w:w w:val="100"/>
          <w:sz w:val="24"/>
        </w:rPr>
        <w:t xml:space="preserve">Степень напряженности </w:t>
      </w:r>
      <w:proofErr w:type="spellStart"/>
      <w:r>
        <w:rPr>
          <w:rFonts w:ascii="Times New Roman" w:hAnsi="Times New Roman"/>
          <w:w w:val="100"/>
          <w:sz w:val="24"/>
        </w:rPr>
        <w:t>медико</w:t>
      </w:r>
      <w:r>
        <w:rPr>
          <w:rFonts w:ascii="Times New Roman" w:hAnsi="Times New Roman"/>
          <w:w w:val="100"/>
          <w:sz w:val="24"/>
        </w:rPr>
        <w:softHyphen/>
        <w:t>экологической</w:t>
      </w:r>
      <w:proofErr w:type="spellEnd"/>
      <w:r>
        <w:rPr>
          <w:rFonts w:ascii="Times New Roman" w:hAnsi="Times New Roman"/>
          <w:w w:val="100"/>
          <w:sz w:val="24"/>
        </w:rPr>
        <w:t xml:space="preserve"> ситуации на территории определяли по дифференцированным критериям на основе </w:t>
      </w:r>
      <w:proofErr w:type="spellStart"/>
      <w:r>
        <w:rPr>
          <w:rFonts w:ascii="Times New Roman" w:hAnsi="Times New Roman"/>
          <w:w w:val="100"/>
          <w:sz w:val="24"/>
        </w:rPr>
        <w:t>сигмальных</w:t>
      </w:r>
      <w:proofErr w:type="spellEnd"/>
      <w:r>
        <w:rPr>
          <w:rFonts w:ascii="Times New Roman" w:hAnsi="Times New Roman"/>
          <w:w w:val="100"/>
          <w:sz w:val="24"/>
        </w:rPr>
        <w:t xml:space="preserve"> отклонений, волнообразность и тенденции развития динамики относительных рисков заболеваемости во времени выявляли по сглаженным методом скользящих простых средних за 3 года значениям и по данным полиномиальной аппроксимации 5</w:t>
      </w:r>
      <w:r>
        <w:rPr>
          <w:rFonts w:ascii="Times New Roman" w:hAnsi="Times New Roman"/>
          <w:w w:val="100"/>
          <w:sz w:val="24"/>
        </w:rPr>
        <w:softHyphen/>
        <w:t>го порядка.</w:t>
      </w:r>
      <w:proofErr w:type="gramEnd"/>
      <w:r>
        <w:rPr>
          <w:rFonts w:ascii="Times New Roman" w:hAnsi="Times New Roman"/>
          <w:w w:val="100"/>
          <w:sz w:val="24"/>
        </w:rPr>
        <w:t xml:space="preserve"> Исследование осуществляли на территориях 5 городов с развитой промышленностью и 5 непромышленных районов. Анализ осредненных повышенных и высоких показателей риска общей и первичной заболеваемости болезнями отдельных классов у детей в рассматриваемый период на территории промышленных городов и непромышленных районов показал, что более полное представление о степени напряженности </w:t>
      </w:r>
      <w:proofErr w:type="spellStart"/>
      <w:r>
        <w:rPr>
          <w:rFonts w:ascii="Times New Roman" w:hAnsi="Times New Roman"/>
          <w:w w:val="100"/>
          <w:sz w:val="24"/>
        </w:rPr>
        <w:t>медико</w:t>
      </w:r>
      <w:r>
        <w:rPr>
          <w:rFonts w:ascii="Times New Roman" w:hAnsi="Times New Roman"/>
          <w:w w:val="100"/>
          <w:sz w:val="24"/>
        </w:rPr>
        <w:softHyphen/>
        <w:t>экологической</w:t>
      </w:r>
      <w:proofErr w:type="spellEnd"/>
      <w:r>
        <w:rPr>
          <w:rFonts w:ascii="Times New Roman" w:hAnsi="Times New Roman"/>
          <w:w w:val="100"/>
          <w:sz w:val="24"/>
        </w:rPr>
        <w:t xml:space="preserve"> ситуации на изучаемых территориях получаем при совместном использовании показателей риска общей и первичной заболеваемости. Волнообразные динамики риска общей и первичной заболеваемости в рассматриваемый период различаются в зависимости от территории, класса болезней и показателя заболеваемости. Это отражает особенности циклических колебаний состояний относительно пониженной и повышенной сопротивляемости организма к воздействию патогенного фактора. Совместное использование показателей риска первичной и общей заболеваемости детского населения целесообразно осуществлять при анализе данных </w:t>
      </w:r>
      <w:proofErr w:type="spellStart"/>
      <w:r>
        <w:rPr>
          <w:rFonts w:ascii="Times New Roman" w:hAnsi="Times New Roman"/>
          <w:w w:val="100"/>
          <w:sz w:val="24"/>
        </w:rPr>
        <w:t>социально</w:t>
      </w:r>
      <w:r>
        <w:rPr>
          <w:rFonts w:ascii="Times New Roman" w:hAnsi="Times New Roman"/>
          <w:w w:val="100"/>
          <w:sz w:val="24"/>
        </w:rPr>
        <w:softHyphen/>
        <w:t>гигиенического</w:t>
      </w:r>
      <w:proofErr w:type="spellEnd"/>
      <w:r>
        <w:rPr>
          <w:rFonts w:ascii="Times New Roman" w:hAnsi="Times New Roman"/>
          <w:w w:val="100"/>
          <w:sz w:val="24"/>
        </w:rPr>
        <w:t xml:space="preserve"> мониторинга для оценки </w:t>
      </w:r>
      <w:r>
        <w:rPr>
          <w:rFonts w:ascii="Times New Roman" w:hAnsi="Times New Roman"/>
          <w:w w:val="100"/>
          <w:sz w:val="24"/>
        </w:rPr>
        <w:lastRenderedPageBreak/>
        <w:t xml:space="preserve">степени напряженности </w:t>
      </w:r>
      <w:proofErr w:type="spellStart"/>
      <w:r>
        <w:rPr>
          <w:rFonts w:ascii="Times New Roman" w:hAnsi="Times New Roman"/>
          <w:w w:val="100"/>
          <w:sz w:val="24"/>
        </w:rPr>
        <w:t>медико</w:t>
      </w:r>
      <w:r>
        <w:rPr>
          <w:rFonts w:ascii="Times New Roman" w:hAnsi="Times New Roman"/>
          <w:w w:val="100"/>
          <w:sz w:val="24"/>
        </w:rPr>
        <w:softHyphen/>
        <w:t>экологической</w:t>
      </w:r>
      <w:proofErr w:type="spellEnd"/>
      <w:r>
        <w:rPr>
          <w:rFonts w:ascii="Times New Roman" w:hAnsi="Times New Roman"/>
          <w:w w:val="100"/>
          <w:sz w:val="24"/>
        </w:rPr>
        <w:t xml:space="preserve"> ситуации и массовой (с повышенными и высокими уровнями риска) неинфекционной заболеваемости населения. 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относительный риск, общая заболеваемость, первичная заболеваемость, загрязнение атмосферного воздуха, </w:t>
      </w:r>
      <w:proofErr w:type="spellStart"/>
      <w:r>
        <w:rPr>
          <w:rFonts w:ascii="Times New Roman" w:hAnsi="Times New Roman"/>
          <w:w w:val="100"/>
          <w:sz w:val="24"/>
        </w:rPr>
        <w:t>медико</w:t>
      </w:r>
      <w:r>
        <w:rPr>
          <w:rFonts w:ascii="Times New Roman" w:hAnsi="Times New Roman"/>
          <w:w w:val="100"/>
          <w:sz w:val="24"/>
        </w:rPr>
        <w:softHyphen/>
        <w:t>экологическая</w:t>
      </w:r>
      <w:proofErr w:type="spellEnd"/>
      <w:r>
        <w:rPr>
          <w:rFonts w:ascii="Times New Roman" w:hAnsi="Times New Roman"/>
          <w:w w:val="100"/>
          <w:sz w:val="24"/>
        </w:rPr>
        <w:t xml:space="preserve"> ситуация, реактивность, неспецифические реакции организма</w:t>
      </w:r>
    </w:p>
    <w:p w:rsidR="00B54776" w:rsidRDefault="00B54776" w:rsidP="00B54776">
      <w:pPr>
        <w:pStyle w:val="a4"/>
        <w:rPr>
          <w:rFonts w:ascii="Times New Roman" w:hAnsi="Times New Roman"/>
          <w:sz w:val="24"/>
        </w:rPr>
      </w:pPr>
    </w:p>
    <w:p w:rsidR="00B54776" w:rsidRDefault="00B54776" w:rsidP="00B54776">
      <w:pPr>
        <w:rPr>
          <w:rFonts w:ascii="Times New Roman" w:hAnsi="Times New Roman"/>
          <w:sz w:val="24"/>
        </w:rPr>
      </w:pPr>
    </w:p>
    <w:p w:rsidR="00B54776" w:rsidRDefault="00B54776" w:rsidP="00B54776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УДК 502.3:519.2</w:t>
      </w:r>
    </w:p>
    <w:p w:rsidR="00B54776" w:rsidRDefault="00B54776" w:rsidP="00B5477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ПРИМЕНЕНИЕ ЭКОЛОГИЧЕСКИХ ИССЛЕДОВАНИЙ В МЕДИЦИНЕ И ОБЩЕСТВЕННОМ ЗДРАВООХРАНЕНИИ</w:t>
      </w:r>
    </w:p>
    <w:p w:rsidR="00B54776" w:rsidRDefault="00B54776" w:rsidP="00B5477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© 2016 г. 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К. К. </w:t>
      </w:r>
      <w:proofErr w:type="spellStart"/>
      <w:r>
        <w:rPr>
          <w:rFonts w:ascii="Times New Roman" w:hAnsi="Times New Roman"/>
        </w:rPr>
        <w:t>Холматова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softHyphen/>
        <w:t>4</w:t>
      </w:r>
      <w:r>
        <w:rPr>
          <w:rFonts w:ascii="Times New Roman" w:hAnsi="Times New Roman"/>
        </w:rPr>
        <w:t>А. М. Гржибовский</w:t>
      </w:r>
    </w:p>
    <w:p w:rsidR="00B54776" w:rsidRDefault="00B54776" w:rsidP="00B54776">
      <w:pPr>
        <w:pStyle w:val="a8"/>
        <w:rPr>
          <w:rFonts w:ascii="Times New Roman" w:hAnsi="Times New Roman"/>
          <w:w w:val="100"/>
          <w:sz w:val="24"/>
        </w:rPr>
      </w:pPr>
      <w:proofErr w:type="gramStart"/>
      <w:r>
        <w:rPr>
          <w:rFonts w:ascii="Times New Roman" w:hAnsi="Times New Roman"/>
          <w:w w:val="100"/>
          <w:sz w:val="24"/>
          <w:vertAlign w:val="superscript"/>
        </w:rPr>
        <w:t>1</w:t>
      </w:r>
      <w:r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г. Архангельск; </w:t>
      </w:r>
      <w:r>
        <w:rPr>
          <w:rFonts w:ascii="Times New Roman" w:hAnsi="Times New Roman"/>
          <w:w w:val="100"/>
          <w:sz w:val="24"/>
          <w:vertAlign w:val="superscript"/>
        </w:rPr>
        <w:t>2</w:t>
      </w:r>
      <w:r>
        <w:rPr>
          <w:rFonts w:ascii="Times New Roman" w:hAnsi="Times New Roman"/>
          <w:w w:val="100"/>
          <w:sz w:val="24"/>
        </w:rPr>
        <w:t xml:space="preserve">Национальный институт общественного здравоохранения, г. Осло, Норвегия; </w:t>
      </w:r>
      <w:r>
        <w:rPr>
          <w:rFonts w:ascii="Times New Roman" w:hAnsi="Times New Roman"/>
          <w:w w:val="100"/>
          <w:sz w:val="24"/>
          <w:vertAlign w:val="superscript"/>
        </w:rPr>
        <w:t>3</w:t>
      </w:r>
      <w:r>
        <w:rPr>
          <w:rFonts w:ascii="Times New Roman" w:hAnsi="Times New Roman"/>
          <w:w w:val="100"/>
          <w:sz w:val="24"/>
        </w:rPr>
        <w:t>Северо</w:t>
      </w:r>
      <w:r>
        <w:rPr>
          <w:rFonts w:ascii="Times New Roman" w:hAnsi="Times New Roman"/>
          <w:w w:val="100"/>
          <w:sz w:val="24"/>
        </w:rPr>
        <w:softHyphen/>
        <w:t xml:space="preserve">Восточный федеральный университет, г. Якутск; </w:t>
      </w:r>
      <w:r>
        <w:rPr>
          <w:rFonts w:ascii="Times New Roman" w:hAnsi="Times New Roman"/>
          <w:w w:val="100"/>
          <w:sz w:val="24"/>
        </w:rPr>
        <w:br/>
      </w:r>
      <w:r>
        <w:rPr>
          <w:rFonts w:ascii="Times New Roman" w:hAnsi="Times New Roman"/>
          <w:w w:val="100"/>
          <w:sz w:val="24"/>
          <w:vertAlign w:val="superscript"/>
        </w:rPr>
        <w:t>4</w:t>
      </w:r>
      <w:r>
        <w:rPr>
          <w:rFonts w:ascii="Times New Roman" w:hAnsi="Times New Roman"/>
          <w:w w:val="100"/>
          <w:sz w:val="24"/>
        </w:rPr>
        <w:t xml:space="preserve">Международный </w:t>
      </w:r>
      <w:proofErr w:type="spellStart"/>
      <w:r>
        <w:rPr>
          <w:rFonts w:ascii="Times New Roman" w:hAnsi="Times New Roman"/>
          <w:w w:val="100"/>
          <w:sz w:val="24"/>
        </w:rPr>
        <w:t>казахско</w:t>
      </w:r>
      <w:r>
        <w:rPr>
          <w:rFonts w:ascii="Times New Roman" w:hAnsi="Times New Roman"/>
          <w:w w:val="100"/>
          <w:sz w:val="24"/>
        </w:rPr>
        <w:softHyphen/>
        <w:t>турецкий</w:t>
      </w:r>
      <w:proofErr w:type="spellEnd"/>
      <w:r>
        <w:rPr>
          <w:rFonts w:ascii="Times New Roman" w:hAnsi="Times New Roman"/>
          <w:w w:val="100"/>
          <w:sz w:val="24"/>
        </w:rPr>
        <w:t xml:space="preserve"> университет им. Х. А. </w:t>
      </w:r>
      <w:proofErr w:type="spellStart"/>
      <w:r>
        <w:rPr>
          <w:rFonts w:ascii="Times New Roman" w:hAnsi="Times New Roman"/>
          <w:w w:val="100"/>
          <w:sz w:val="24"/>
        </w:rPr>
        <w:t>Ясави</w:t>
      </w:r>
      <w:proofErr w:type="spellEnd"/>
      <w:r>
        <w:rPr>
          <w:rFonts w:ascii="Times New Roman" w:hAnsi="Times New Roman"/>
          <w:w w:val="100"/>
          <w:sz w:val="24"/>
        </w:rPr>
        <w:t>, г. Туркестан, Казахстан</w:t>
      </w:r>
      <w:proofErr w:type="gramEnd"/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В статье представлены основные принципы планирования экологических исследований, их проведения и статистического анализа данных. Описаны теоретические основы методологии данного типа исследований, рассмотрены его преимущества и недостатки, разобраны некоторые клинические задачи, для решения которых можно использовать экологические исследования. На практическом примере описаны методы статистического расчета связи между изучаемыми признаками с использованием </w:t>
      </w:r>
      <w:proofErr w:type="gramStart"/>
      <w:r>
        <w:rPr>
          <w:rFonts w:ascii="Times New Roman" w:hAnsi="Times New Roman"/>
          <w:w w:val="100"/>
          <w:sz w:val="24"/>
        </w:rPr>
        <w:t>доступных</w:t>
      </w:r>
      <w:proofErr w:type="gramEnd"/>
      <w:r>
        <w:rPr>
          <w:rFonts w:ascii="Times New Roman" w:hAnsi="Times New Roman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w w:val="100"/>
          <w:sz w:val="24"/>
        </w:rPr>
        <w:t>онлайн</w:t>
      </w:r>
      <w:r>
        <w:rPr>
          <w:rFonts w:ascii="Times New Roman" w:hAnsi="Times New Roman"/>
          <w:w w:val="100"/>
          <w:sz w:val="24"/>
        </w:rPr>
        <w:softHyphen/>
        <w:t>калькуляторов</w:t>
      </w:r>
      <w:proofErr w:type="spellEnd"/>
      <w:r>
        <w:rPr>
          <w:rFonts w:ascii="Times New Roman" w:hAnsi="Times New Roman"/>
          <w:w w:val="100"/>
          <w:sz w:val="24"/>
        </w:rPr>
        <w:t xml:space="preserve">, представлен основной статистический критерий «коэффициент корреляции» и его интерпретация. Проанализированы примеры экологических исследований в биомедицинской литературе. В статье также представлен пример исследования, проведенного в Архангельской области. </w:t>
      </w:r>
    </w:p>
    <w:p w:rsidR="00B54776" w:rsidRDefault="00B54776" w:rsidP="00B54776">
      <w:pPr>
        <w:pStyle w:val="a9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b/>
          <w:bCs/>
          <w:w w:val="100"/>
          <w:sz w:val="24"/>
        </w:rPr>
        <w:t>Ключевые слова:</w:t>
      </w:r>
      <w:r>
        <w:rPr>
          <w:rFonts w:ascii="Times New Roman" w:hAnsi="Times New Roman"/>
          <w:w w:val="100"/>
          <w:sz w:val="24"/>
        </w:rPr>
        <w:t xml:space="preserve"> экологическое исследование, корреляционный анализ, экологическая ошибка</w:t>
      </w:r>
    </w:p>
    <w:p w:rsidR="00B54776" w:rsidRDefault="00B54776" w:rsidP="00B54776">
      <w:pPr>
        <w:pStyle w:val="a4"/>
        <w:rPr>
          <w:rFonts w:ascii="Times New Roman" w:hAnsi="Times New Roman"/>
          <w:sz w:val="24"/>
        </w:rPr>
      </w:pPr>
    </w:p>
    <w:sectPr w:rsidR="00B54776" w:rsidSect="00BC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4776"/>
    <w:rsid w:val="00243BB7"/>
    <w:rsid w:val="00515B11"/>
    <w:rsid w:val="00B54776"/>
    <w:rsid w:val="00B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776"/>
    <w:rPr>
      <w:color w:val="0000FF" w:themeColor="hyperlink"/>
      <w:u w:val="single"/>
    </w:rPr>
  </w:style>
  <w:style w:type="paragraph" w:customStyle="1" w:styleId="a4">
    <w:name w:val="ОСНОВНОЙ ТЕКСТ"/>
    <w:basedOn w:val="a"/>
    <w:uiPriority w:val="99"/>
    <w:rsid w:val="00B54776"/>
    <w:pPr>
      <w:autoSpaceDE w:val="0"/>
      <w:autoSpaceDN w:val="0"/>
      <w:adjustRightInd w:val="0"/>
      <w:spacing w:after="0" w:line="288" w:lineRule="auto"/>
      <w:ind w:firstLine="227"/>
      <w:jc w:val="both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5">
    <w:name w:val="УДК"/>
    <w:basedOn w:val="a4"/>
    <w:uiPriority w:val="99"/>
    <w:rsid w:val="00B54776"/>
    <w:pPr>
      <w:spacing w:after="113"/>
      <w:ind w:firstLine="0"/>
      <w:jc w:val="left"/>
    </w:pPr>
    <w:rPr>
      <w:sz w:val="18"/>
      <w:szCs w:val="18"/>
    </w:rPr>
  </w:style>
  <w:style w:type="paragraph" w:customStyle="1" w:styleId="a6">
    <w:name w:val="ЗАГОЛОВОК"/>
    <w:basedOn w:val="a"/>
    <w:uiPriority w:val="99"/>
    <w:rsid w:val="00B54776"/>
    <w:pPr>
      <w:suppressAutoHyphens/>
      <w:autoSpaceDE w:val="0"/>
      <w:autoSpaceDN w:val="0"/>
      <w:adjustRightInd w:val="0"/>
      <w:spacing w:after="113" w:line="288" w:lineRule="auto"/>
      <w:jc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7">
    <w:name w:val="АВТОР"/>
    <w:basedOn w:val="a6"/>
    <w:uiPriority w:val="99"/>
    <w:rsid w:val="00B54776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8">
    <w:name w:val="ГОРОД"/>
    <w:basedOn w:val="a7"/>
    <w:uiPriority w:val="99"/>
    <w:rsid w:val="00B54776"/>
    <w:pPr>
      <w:spacing w:after="0"/>
    </w:pPr>
    <w:rPr>
      <w:w w:val="90"/>
      <w:sz w:val="22"/>
      <w:szCs w:val="22"/>
    </w:rPr>
  </w:style>
  <w:style w:type="paragraph" w:customStyle="1" w:styleId="a9">
    <w:name w:val="РЕЗЮМЕ"/>
    <w:basedOn w:val="a4"/>
    <w:uiPriority w:val="99"/>
    <w:rsid w:val="00B54776"/>
    <w:rPr>
      <w:rFonts w:ascii="OfficinaSansC" w:hAnsi="OfficinaSansC" w:cs="OfficinaSansC"/>
      <w:w w:val="95"/>
      <w:sz w:val="18"/>
      <w:szCs w:val="18"/>
    </w:rPr>
  </w:style>
  <w:style w:type="paragraph" w:customStyle="1" w:styleId="aa">
    <w:name w:val="автор англ"/>
    <w:basedOn w:val="a7"/>
    <w:uiPriority w:val="99"/>
    <w:rsid w:val="00B54776"/>
  </w:style>
  <w:style w:type="paragraph" w:customStyle="1" w:styleId="ab">
    <w:name w:val="КОНТАКТНАЯ ИНФОРМАЦИЯ"/>
    <w:basedOn w:val="a"/>
    <w:uiPriority w:val="99"/>
    <w:rsid w:val="00B54776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c">
    <w:name w:val="БИБЛИОГРАФИЯ"/>
    <w:basedOn w:val="a4"/>
    <w:uiPriority w:val="99"/>
    <w:rsid w:val="00B54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12505</Characters>
  <Application>Microsoft Office Word</Application>
  <DocSecurity>0</DocSecurity>
  <Lines>104</Lines>
  <Paragraphs>29</Paragraphs>
  <ScaleCrop>false</ScaleCrop>
  <Company>NSMU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garceva</dc:creator>
  <cp:keywords/>
  <dc:description/>
  <cp:lastModifiedBy>garceva</cp:lastModifiedBy>
  <cp:revision>3</cp:revision>
  <dcterms:created xsi:type="dcterms:W3CDTF">2016-09-14T09:00:00Z</dcterms:created>
  <dcterms:modified xsi:type="dcterms:W3CDTF">2016-09-14T09:01:00Z</dcterms:modified>
</cp:coreProperties>
</file>